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1AB" w:rsidRDefault="008A41AB" w:rsidP="008A41AB">
      <w:pPr>
        <w:shd w:val="clear" w:color="auto" w:fill="4F81BD"/>
        <w:rPr>
          <w:rFonts w:cstheme="minorHAnsi"/>
          <w:b/>
          <w:bCs/>
          <w:smallCaps/>
          <w:color w:val="FFFFFF"/>
          <w:lang w:eastAsia="de-DE"/>
        </w:rPr>
      </w:pPr>
      <w:r>
        <w:rPr>
          <w:rFonts w:cstheme="minorHAnsi"/>
          <w:b/>
          <w:bCs/>
          <w:smallCaps/>
          <w:color w:val="FFFFFF"/>
          <w:lang w:eastAsia="de-DE"/>
        </w:rPr>
        <w:t>Argentina Q1 2016</w:t>
      </w:r>
    </w:p>
    <w:p w:rsidR="008A41AB" w:rsidRDefault="008A41AB" w:rsidP="008A41AB">
      <w:pPr>
        <w:rPr>
          <w:rFonts w:eastAsia="Times New Roman" w:cstheme="minorHAnsi"/>
          <w:lang w:eastAsia="es-ES"/>
        </w:rPr>
      </w:pPr>
      <w:r>
        <w:rPr>
          <w:rFonts w:eastAsia="Times New Roman" w:cstheme="minorHAnsi"/>
          <w:b/>
          <w:lang w:eastAsia="es-ES"/>
        </w:rPr>
        <w:t>Area:</w:t>
      </w:r>
      <w:r>
        <w:rPr>
          <w:rFonts w:eastAsia="Times New Roman" w:cstheme="minorHAnsi"/>
          <w:lang w:eastAsia="es-ES"/>
        </w:rPr>
        <w:t xml:space="preserve"> Public/Industry</w:t>
      </w:r>
    </w:p>
    <w:p w:rsidR="008A41AB" w:rsidRDefault="008A41AB" w:rsidP="008A41AB">
      <w:pPr>
        <w:rPr>
          <w:rFonts w:eastAsia="Times New Roman" w:cstheme="minorHAnsi"/>
          <w:lang w:eastAsia="es-ES"/>
        </w:rPr>
      </w:pPr>
      <w:r>
        <w:rPr>
          <w:rFonts w:eastAsia="Times New Roman" w:cstheme="minorHAnsi"/>
          <w:b/>
          <w:lang w:eastAsia="es-ES"/>
        </w:rPr>
        <w:t>Scope:</w:t>
      </w:r>
      <w:r>
        <w:rPr>
          <w:rFonts w:eastAsia="Times New Roman" w:cstheme="minorHAnsi"/>
          <w:lang w:eastAsia="es-ES"/>
        </w:rPr>
        <w:t xml:space="preserve"> GHG Inventory System, NAMAs, LEDS, MRV</w:t>
      </w:r>
    </w:p>
    <w:p w:rsidR="008A41AB" w:rsidRDefault="008A41AB" w:rsidP="008A41AB">
      <w:pPr>
        <w:rPr>
          <w:rFonts w:eastAsia="Times New Roman" w:cstheme="minorHAnsi"/>
          <w:lang w:eastAsia="es-ES"/>
        </w:rPr>
      </w:pPr>
      <w:r>
        <w:rPr>
          <w:rFonts w:eastAsia="Times New Roman" w:cstheme="minorHAnsi"/>
          <w:b/>
          <w:lang w:eastAsia="es-ES"/>
        </w:rPr>
        <w:t>Sectors:</w:t>
      </w:r>
      <w:r>
        <w:rPr>
          <w:rFonts w:eastAsia="Times New Roman" w:cstheme="minorHAnsi"/>
          <w:lang w:eastAsia="es-ES"/>
        </w:rPr>
        <w:t xml:space="preserve"> Fertilizers and Petrochemical Industry</w:t>
      </w:r>
    </w:p>
    <w:p w:rsidR="008A41AB" w:rsidRDefault="008A41AB" w:rsidP="008A41AB">
      <w:pPr>
        <w:rPr>
          <w:rFonts w:eastAsia="Times New Roman" w:cstheme="minorHAnsi"/>
          <w:lang w:eastAsia="es-ES"/>
        </w:rPr>
      </w:pPr>
      <w:r>
        <w:rPr>
          <w:rFonts w:eastAsia="Times New Roman" w:cstheme="minorHAnsi"/>
          <w:b/>
          <w:lang w:eastAsia="es-ES"/>
        </w:rPr>
        <w:t>National Implementing Agency:</w:t>
      </w:r>
      <w:r>
        <w:rPr>
          <w:rFonts w:eastAsia="Times New Roman" w:cstheme="minorHAnsi"/>
          <w:lang w:eastAsia="es-ES"/>
        </w:rPr>
        <w:t xml:space="preserve"> Energy and Mining Ministry; Production Ministry; Environmental and Sustainable Development Ministry; Ministry of Science, Technology and Productive Innovation; Ministry of Agriculture, Livestock and Fisheries and the Federal Council of the Environment</w:t>
      </w:r>
    </w:p>
    <w:p w:rsidR="008A41AB" w:rsidRDefault="008A41AB" w:rsidP="008A41AB">
      <w:pPr>
        <w:rPr>
          <w:rFonts w:eastAsia="Times New Roman" w:cstheme="minorHAnsi"/>
          <w:b/>
          <w:lang w:eastAsia="es-ES"/>
        </w:rPr>
      </w:pPr>
      <w:r>
        <w:rPr>
          <w:rFonts w:eastAsia="Times New Roman" w:cstheme="minorHAnsi"/>
          <w:b/>
          <w:lang w:eastAsia="es-ES"/>
        </w:rPr>
        <w:t>Summary update</w:t>
      </w:r>
    </w:p>
    <w:p w:rsidR="008A41AB" w:rsidRDefault="008A41AB" w:rsidP="008A41AB">
      <w:pPr>
        <w:rPr>
          <w:rFonts w:eastAsia="Times New Roman" w:cstheme="minorHAnsi"/>
        </w:rPr>
      </w:pPr>
      <w:r>
        <w:rPr>
          <w:rFonts w:eastAsia="Times New Roman" w:cstheme="minorHAnsi"/>
        </w:rPr>
        <w:t>On 10 December 2015</w:t>
      </w:r>
      <w:r>
        <w:rPr>
          <w:rFonts w:eastAsia="Times New Roman" w:cstheme="minorHAnsi"/>
        </w:rPr>
        <w:t>,</w:t>
      </w:r>
      <w:r>
        <w:rPr>
          <w:rFonts w:eastAsia="Times New Roman" w:cstheme="minorHAnsi"/>
        </w:rPr>
        <w:t xml:space="preserve"> new national authorities came into place on all Government levels, leading to the replacement of some governmental focal points for the project steering committee, which caused some delays in the advancement of final LECB outcomes. The LECB project is in close dialogue with the new relevant officials, who also emphasized the need to engage with the private sector, and to develop mitigation measures in the industry sector in the context of the INDC.</w:t>
      </w:r>
    </w:p>
    <w:p w:rsidR="008A41AB" w:rsidRDefault="008A41AB" w:rsidP="008A41AB">
      <w:pPr>
        <w:rPr>
          <w:rFonts w:eastAsia="Times New Roman" w:cstheme="minorHAnsi"/>
          <w:u w:val="single"/>
          <w:lang w:eastAsia="es-ES"/>
        </w:rPr>
      </w:pPr>
      <w:r>
        <w:rPr>
          <w:rFonts w:eastAsia="Times New Roman" w:cstheme="minorHAnsi"/>
          <w:i/>
          <w:u w:val="single"/>
          <w:lang w:eastAsia="es-ES"/>
        </w:rPr>
        <w:t>Outcome 1: GHG emission inventory system strengthened and revised for the fertilizer and petrochemical industries</w:t>
      </w:r>
    </w:p>
    <w:p w:rsidR="008A41AB" w:rsidRDefault="008A41AB" w:rsidP="008A41AB">
      <w:pPr>
        <w:rPr>
          <w:rFonts w:eastAsia="Times New Roman" w:cstheme="minorHAnsi"/>
        </w:rPr>
      </w:pPr>
      <w:r>
        <w:rPr>
          <w:rFonts w:eastAsia="Times New Roman" w:cstheme="minorHAnsi"/>
        </w:rPr>
        <w:t>The improvement of the GHG emission inventory system was finalized, a methodology was designed together with a calculation tool specifically for the fertilizer and petrochemical industry sectors. The calculation tool was calibrated by using available data for both sectors.</w:t>
      </w:r>
    </w:p>
    <w:p w:rsidR="008A41AB" w:rsidRDefault="008A41AB" w:rsidP="008A41AB">
      <w:pPr>
        <w:rPr>
          <w:rFonts w:eastAsia="Times New Roman" w:cstheme="minorHAnsi"/>
          <w:i/>
          <w:u w:val="single"/>
          <w:lang w:eastAsia="es-ES"/>
        </w:rPr>
      </w:pPr>
      <w:r>
        <w:rPr>
          <w:rFonts w:eastAsia="Times New Roman" w:cstheme="minorHAnsi"/>
          <w:i/>
          <w:u w:val="single"/>
          <w:lang w:eastAsia="es-ES"/>
        </w:rPr>
        <w:t>Outcome 2: Mitigation measures developed for the fertilizer and petrochemical sectors</w:t>
      </w:r>
    </w:p>
    <w:p w:rsidR="008A41AB" w:rsidRDefault="008A41AB" w:rsidP="008A41AB">
      <w:pPr>
        <w:rPr>
          <w:rFonts w:eastAsia="Times New Roman" w:cstheme="minorHAnsi"/>
        </w:rPr>
      </w:pPr>
      <w:r>
        <w:rPr>
          <w:rFonts w:eastAsia="Times New Roman" w:cstheme="minorHAnsi"/>
        </w:rPr>
        <w:t>The newly appointed project director solicited the offices associated with LECB a revision of this outcome to develop a NAMA including the full industrial sector, which is planned to be compatible with the NDC. This is expected to be a cornerstone of the new national climate change strategy. In this context</w:t>
      </w:r>
      <w:r>
        <w:rPr>
          <w:rFonts w:eastAsia="Times New Roman" w:cstheme="minorHAnsi"/>
        </w:rPr>
        <w:t>,</w:t>
      </w:r>
      <w:r>
        <w:rPr>
          <w:rFonts w:eastAsia="Times New Roman" w:cstheme="minorHAnsi"/>
        </w:rPr>
        <w:t xml:space="preserve"> it is also planned assess at an institutional level the capacity needs for GHG inventories in the industrial sector.</w:t>
      </w:r>
    </w:p>
    <w:p w:rsidR="008A41AB" w:rsidRDefault="008A41AB" w:rsidP="008A41AB">
      <w:pPr>
        <w:rPr>
          <w:rFonts w:cstheme="minorHAnsi"/>
        </w:rPr>
      </w:pPr>
      <w:r>
        <w:rPr>
          <w:rFonts w:cstheme="minorHAnsi"/>
        </w:rPr>
        <w:t>To shape mitigation measures in the fertilizer industry, relevant policies and incentives were identified, actions and projects were defined. Implementation instruments for mitigation activities were developed.</w:t>
      </w:r>
    </w:p>
    <w:p w:rsidR="008A41AB" w:rsidRDefault="008A41AB" w:rsidP="008A41AB">
      <w:pPr>
        <w:rPr>
          <w:rFonts w:eastAsia="Times New Roman" w:cstheme="minorHAnsi"/>
          <w:i/>
          <w:lang w:eastAsia="es-ES"/>
        </w:rPr>
      </w:pPr>
      <w:r>
        <w:rPr>
          <w:rFonts w:eastAsia="Times New Roman" w:cstheme="minorHAnsi"/>
          <w:i/>
          <w:u w:val="single"/>
          <w:lang w:eastAsia="es-ES"/>
        </w:rPr>
        <w:t>Outcome 3: MRV systems have been created to support implementation of the industry’s sectoral strategic investment plan for the fertilizer and petrochemical sectors</w:t>
      </w:r>
    </w:p>
    <w:p w:rsidR="008A41AB" w:rsidRDefault="008A41AB" w:rsidP="008A41AB">
      <w:pPr>
        <w:rPr>
          <w:rFonts w:cstheme="minorHAnsi"/>
        </w:rPr>
      </w:pPr>
      <w:r>
        <w:rPr>
          <w:rFonts w:cstheme="minorHAnsi"/>
        </w:rPr>
        <w:t xml:space="preserve">The following activities were completed: Monitoring system for training </w:t>
      </w:r>
      <w:proofErr w:type="spellStart"/>
      <w:r>
        <w:rPr>
          <w:rFonts w:cstheme="minorHAnsi"/>
        </w:rPr>
        <w:t>programmes</w:t>
      </w:r>
      <w:proofErr w:type="spellEnd"/>
      <w:r>
        <w:rPr>
          <w:rFonts w:cstheme="minorHAnsi"/>
        </w:rPr>
        <w:t xml:space="preserve"> was established and validated. A monitoring plan for the fertilizer industry was prepared. A policy proposal to implement monitoring tools in the fertilizer and petrochemical industry was designed and presented to stakeholders.</w:t>
      </w:r>
    </w:p>
    <w:p w:rsidR="008A41AB" w:rsidRDefault="008A41AB" w:rsidP="008A41AB">
      <w:pPr>
        <w:rPr>
          <w:rFonts w:cstheme="minorHAnsi"/>
        </w:rPr>
      </w:pPr>
    </w:p>
    <w:p w:rsidR="008A41AB" w:rsidRDefault="008A41AB" w:rsidP="008A41AB">
      <w:pPr>
        <w:rPr>
          <w:rFonts w:eastAsia="Times New Roman" w:cstheme="minorHAnsi"/>
          <w:i/>
          <w:u w:val="single"/>
          <w:lang w:eastAsia="es-ES"/>
        </w:rPr>
      </w:pPr>
      <w:r>
        <w:rPr>
          <w:rFonts w:eastAsia="Times New Roman" w:cstheme="minorHAnsi"/>
          <w:i/>
          <w:u w:val="single"/>
          <w:lang w:eastAsia="es-ES"/>
        </w:rPr>
        <w:lastRenderedPageBreak/>
        <w:t>Outcome 4: Capacity-building for mainstreaming project outcomes into the decision-making process of the Government Committee on Climate Change</w:t>
      </w:r>
    </w:p>
    <w:p w:rsidR="008A41AB" w:rsidRDefault="008A41AB" w:rsidP="008A41AB">
      <w:pPr>
        <w:rPr>
          <w:rFonts w:eastAsia="Times New Roman" w:cstheme="minorHAnsi"/>
          <w:lang w:eastAsia="es-ES"/>
        </w:rPr>
      </w:pPr>
      <w:r>
        <w:rPr>
          <w:rFonts w:eastAsia="Times New Roman" w:cstheme="minorHAnsi"/>
          <w:lang w:eastAsia="es-ES"/>
        </w:rPr>
        <w:t>Due to the change of Government the newly appointed focal points are still to take decisions on the next steps under this outcome.</w:t>
      </w:r>
    </w:p>
    <w:p w:rsidR="008A41AB" w:rsidRDefault="008A41AB" w:rsidP="008A41AB">
      <w:pPr>
        <w:rPr>
          <w:rFonts w:eastAsia="Times New Roman" w:cstheme="minorHAnsi"/>
          <w:b/>
          <w:lang w:eastAsia="es-ES"/>
        </w:rPr>
      </w:pPr>
      <w:r>
        <w:rPr>
          <w:rFonts w:eastAsia="Times New Roman" w:cstheme="minorHAnsi"/>
          <w:b/>
          <w:lang w:eastAsia="es-ES"/>
        </w:rPr>
        <w:t>Project management</w:t>
      </w:r>
    </w:p>
    <w:p w:rsidR="008A41AB" w:rsidRDefault="008A41AB" w:rsidP="008A41AB">
      <w:pPr>
        <w:rPr>
          <w:rFonts w:cstheme="minorHAnsi"/>
        </w:rPr>
      </w:pPr>
      <w:r>
        <w:rPr>
          <w:rFonts w:eastAsia="Times New Roman" w:cstheme="minorHAnsi"/>
        </w:rPr>
        <w:t>The national project was extended at a no-cost basis until 30 June 2017 to complete tasks and incorporate new activities. The outstanding tasks include trainings and capacity development courses for the public and private sector on the development of GHG inventories and the associated calculation tools that have been developed.</w:t>
      </w:r>
    </w:p>
    <w:p w:rsidR="008A41AB" w:rsidRDefault="008A41AB" w:rsidP="008A41AB">
      <w:pPr>
        <w:shd w:val="clear" w:color="auto" w:fill="4F81BD"/>
        <w:jc w:val="both"/>
        <w:rPr>
          <w:rFonts w:cstheme="minorHAnsi"/>
          <w:b/>
          <w:bCs/>
          <w:smallCaps/>
          <w:color w:val="FFFFFF"/>
          <w:lang w:eastAsia="de-DE"/>
        </w:rPr>
      </w:pPr>
      <w:r>
        <w:rPr>
          <w:rFonts w:cstheme="minorHAnsi"/>
          <w:b/>
          <w:bCs/>
          <w:smallCaps/>
          <w:color w:val="FFFFFF"/>
          <w:lang w:eastAsia="de-DE"/>
        </w:rPr>
        <w:t>Argentina Q2 2016</w:t>
      </w:r>
    </w:p>
    <w:p w:rsidR="008A41AB" w:rsidRDefault="008A41AB" w:rsidP="008A41AB">
      <w:pPr>
        <w:jc w:val="both"/>
        <w:rPr>
          <w:rFonts w:eastAsia="Times New Roman" w:cstheme="minorHAnsi"/>
          <w:lang w:eastAsia="es-ES"/>
        </w:rPr>
      </w:pPr>
      <w:r>
        <w:rPr>
          <w:rFonts w:eastAsia="Times New Roman" w:cstheme="minorHAnsi"/>
          <w:b/>
          <w:lang w:eastAsia="es-ES"/>
        </w:rPr>
        <w:t>Area:</w:t>
      </w:r>
      <w:r>
        <w:rPr>
          <w:rFonts w:eastAsia="Times New Roman" w:cstheme="minorHAnsi"/>
          <w:lang w:eastAsia="es-ES"/>
        </w:rPr>
        <w:t xml:space="preserve"> Public/Industry</w:t>
      </w:r>
    </w:p>
    <w:p w:rsidR="008A41AB" w:rsidRDefault="008A41AB" w:rsidP="008A41AB">
      <w:pPr>
        <w:jc w:val="both"/>
        <w:rPr>
          <w:rFonts w:eastAsia="Times New Roman" w:cstheme="minorHAnsi"/>
          <w:lang w:eastAsia="es-ES"/>
        </w:rPr>
      </w:pPr>
      <w:r>
        <w:rPr>
          <w:rFonts w:eastAsia="Times New Roman" w:cstheme="minorHAnsi"/>
          <w:b/>
          <w:lang w:eastAsia="es-ES"/>
        </w:rPr>
        <w:t>Scope:</w:t>
      </w:r>
      <w:r>
        <w:rPr>
          <w:rFonts w:eastAsia="Times New Roman" w:cstheme="minorHAnsi"/>
          <w:lang w:eastAsia="es-ES"/>
        </w:rPr>
        <w:t xml:space="preserve"> GHG Inventory System, NAMAs, LEDS, MRV</w:t>
      </w:r>
    </w:p>
    <w:p w:rsidR="008A41AB" w:rsidRDefault="008A41AB" w:rsidP="008A41AB">
      <w:pPr>
        <w:jc w:val="both"/>
        <w:rPr>
          <w:rFonts w:eastAsia="Times New Roman" w:cstheme="minorHAnsi"/>
          <w:lang w:eastAsia="es-ES"/>
        </w:rPr>
      </w:pPr>
      <w:r>
        <w:rPr>
          <w:rFonts w:eastAsia="Times New Roman" w:cstheme="minorHAnsi"/>
          <w:b/>
          <w:lang w:eastAsia="es-ES"/>
        </w:rPr>
        <w:t>Sectors:</w:t>
      </w:r>
      <w:r>
        <w:rPr>
          <w:rFonts w:eastAsia="Times New Roman" w:cstheme="minorHAnsi"/>
          <w:lang w:eastAsia="es-ES"/>
        </w:rPr>
        <w:t xml:space="preserve"> Fertilizers and Petrochemical Industry</w:t>
      </w:r>
    </w:p>
    <w:p w:rsidR="008A41AB" w:rsidRDefault="008A41AB" w:rsidP="008A41AB">
      <w:pPr>
        <w:jc w:val="both"/>
        <w:rPr>
          <w:rFonts w:eastAsia="Times New Roman" w:cstheme="minorHAnsi"/>
          <w:lang w:eastAsia="es-ES"/>
        </w:rPr>
      </w:pPr>
      <w:r>
        <w:rPr>
          <w:rFonts w:eastAsia="Times New Roman" w:cstheme="minorHAnsi"/>
          <w:b/>
          <w:lang w:eastAsia="es-ES"/>
        </w:rPr>
        <w:t>National Implementing Agency:</w:t>
      </w:r>
      <w:r>
        <w:rPr>
          <w:rFonts w:eastAsia="Times New Roman" w:cstheme="minorHAnsi"/>
          <w:lang w:eastAsia="es-ES"/>
        </w:rPr>
        <w:t xml:space="preserve"> Energy and Mining Ministry; Production Ministry; Environmental and Sustainable Development Ministry; Ministry of Science, Technology and Productive Innovation; Ministry of Agriculture, Livestock and Fisheries and the Federal Council of the Environment</w:t>
      </w:r>
    </w:p>
    <w:p w:rsidR="008A41AB" w:rsidRDefault="008A41AB" w:rsidP="008A41AB">
      <w:pPr>
        <w:jc w:val="both"/>
        <w:rPr>
          <w:rFonts w:eastAsiaTheme="minorHAnsi" w:cs="Arial"/>
          <w:b/>
        </w:rPr>
      </w:pPr>
      <w:r>
        <w:rPr>
          <w:rFonts w:cs="Arial"/>
          <w:b/>
        </w:rPr>
        <w:t>Summary update</w:t>
      </w:r>
    </w:p>
    <w:p w:rsidR="008A41AB" w:rsidRDefault="008A41AB" w:rsidP="008A41AB">
      <w:pPr>
        <w:jc w:val="both"/>
      </w:pPr>
      <w:proofErr w:type="gramStart"/>
      <w:r>
        <w:t>A number of</w:t>
      </w:r>
      <w:proofErr w:type="gramEnd"/>
      <w:r>
        <w:t xml:space="preserve"> new requests for additional activities from the Argentinian Government reached the national LECB team. These on the one hand showed the esteem and trust the Government has in the national LECB team, but these the work on requests had also to be balanced with the work on the agreed LECB outcomes as listed below. In consequence, during the past quarter the national LECB team focused on outcome 4 activities on capacity building. The need to balance these requests with the agreed outcomes was also discussed in meetings of the national LECB team with the technical team of the National Climate Change Directorate and its new Director General. It was agreed to review the current outcomes according the needs of the Government and the National Climate Change Strategy. The reason for the additional requests was the newly established ministerial body </w:t>
      </w:r>
      <w:r>
        <w:rPr>
          <w:i/>
        </w:rPr>
        <w:t>National Climate Change Office</w:t>
      </w:r>
      <w:r>
        <w:t>, which was created to provide fresh impetus on the highest government level regarding national mitigation decisions.</w:t>
      </w:r>
    </w:p>
    <w:p w:rsidR="008A41AB" w:rsidRDefault="008A41AB" w:rsidP="008A41AB">
      <w:pPr>
        <w:jc w:val="both"/>
      </w:pPr>
      <w:r>
        <w:t>Key aspects of these new requests from the Government focus on mitigation policies in the energy, industry, transport and waste sectors:</w:t>
      </w:r>
    </w:p>
    <w:p w:rsidR="008A41AB" w:rsidRDefault="008A41AB" w:rsidP="008A41AB">
      <w:pPr>
        <w:pStyle w:val="ListParagraph"/>
        <w:numPr>
          <w:ilvl w:val="0"/>
          <w:numId w:val="1"/>
        </w:numPr>
        <w:jc w:val="both"/>
      </w:pPr>
      <w:r>
        <w:t>Revising and updating mitigation measures established in the NDC, creating a permanent process of reviews and upgrades.</w:t>
      </w:r>
    </w:p>
    <w:p w:rsidR="008A41AB" w:rsidRDefault="008A41AB" w:rsidP="008A41AB">
      <w:pPr>
        <w:pStyle w:val="ListParagraph"/>
        <w:numPr>
          <w:ilvl w:val="0"/>
          <w:numId w:val="1"/>
        </w:numPr>
        <w:jc w:val="both"/>
      </w:pPr>
      <w:r>
        <w:t>Identifying and proposing sectoral plans and national mitigation strategies.</w:t>
      </w:r>
    </w:p>
    <w:p w:rsidR="008A41AB" w:rsidRDefault="008A41AB" w:rsidP="008A41AB">
      <w:pPr>
        <w:pStyle w:val="ListParagraph"/>
        <w:numPr>
          <w:ilvl w:val="0"/>
          <w:numId w:val="1"/>
        </w:numPr>
        <w:jc w:val="both"/>
      </w:pPr>
      <w:r>
        <w:t>Developing MRV systems for mitigation actions and defining valid indicators for a sectoral mitigation plan.</w:t>
      </w:r>
    </w:p>
    <w:p w:rsidR="008A41AB" w:rsidRDefault="008A41AB" w:rsidP="008A41AB">
      <w:pPr>
        <w:pStyle w:val="ListParagraph"/>
        <w:numPr>
          <w:ilvl w:val="0"/>
          <w:numId w:val="1"/>
        </w:numPr>
        <w:jc w:val="both"/>
      </w:pPr>
      <w:r>
        <w:t>Supporting the National Climate Change Office on finding financing instruments for prioritized mitigation measures.</w:t>
      </w:r>
    </w:p>
    <w:p w:rsidR="008A41AB" w:rsidRDefault="008A41AB" w:rsidP="008A41AB">
      <w:pPr>
        <w:pStyle w:val="ListParagraph"/>
        <w:numPr>
          <w:ilvl w:val="0"/>
          <w:numId w:val="1"/>
        </w:numPr>
        <w:jc w:val="both"/>
      </w:pPr>
      <w:r>
        <w:lastRenderedPageBreak/>
        <w:t>Strengthening public and private sector capacities on developing low-carbon policies and developing a feasible official monitoring entity for GHG emission reductions.</w:t>
      </w:r>
    </w:p>
    <w:p w:rsidR="008A41AB" w:rsidRDefault="008A41AB" w:rsidP="008A41AB">
      <w:pPr>
        <w:jc w:val="both"/>
      </w:pPr>
    </w:p>
    <w:p w:rsidR="008A41AB" w:rsidRDefault="008A41AB" w:rsidP="008A41AB">
      <w:pPr>
        <w:jc w:val="both"/>
        <w:rPr>
          <w:rFonts w:eastAsia="Times New Roman" w:cstheme="minorHAnsi"/>
          <w:u w:val="single"/>
          <w:lang w:eastAsia="es-ES"/>
        </w:rPr>
      </w:pPr>
      <w:r>
        <w:rPr>
          <w:rFonts w:eastAsia="Times New Roman" w:cstheme="minorHAnsi"/>
          <w:i/>
          <w:u w:val="single"/>
          <w:lang w:eastAsia="es-ES"/>
        </w:rPr>
        <w:t>Outcome 1: GHG emission inventory system strengthened and revised for the fertilizer and petrochemical industries</w:t>
      </w:r>
    </w:p>
    <w:p w:rsidR="008A41AB" w:rsidRDefault="008A41AB" w:rsidP="008A41AB">
      <w:pPr>
        <w:jc w:val="both"/>
        <w:rPr>
          <w:rFonts w:eastAsia="Times New Roman" w:cstheme="minorHAnsi"/>
        </w:rPr>
      </w:pPr>
      <w:r>
        <w:rPr>
          <w:rFonts w:eastAsia="Times New Roman" w:cstheme="minorHAnsi"/>
        </w:rPr>
        <w:t>No considerable activities took place under this outcome during this quarter due to the points explained in the summary update.</w:t>
      </w:r>
    </w:p>
    <w:p w:rsidR="008A41AB" w:rsidRDefault="008A41AB" w:rsidP="008A41AB">
      <w:pPr>
        <w:jc w:val="both"/>
        <w:rPr>
          <w:rFonts w:eastAsia="Times New Roman" w:cstheme="minorHAnsi"/>
          <w:i/>
          <w:u w:val="single"/>
          <w:lang w:eastAsia="es-ES"/>
        </w:rPr>
      </w:pPr>
      <w:r>
        <w:rPr>
          <w:rFonts w:eastAsia="Times New Roman" w:cstheme="minorHAnsi"/>
          <w:i/>
          <w:u w:val="single"/>
          <w:lang w:eastAsia="es-ES"/>
        </w:rPr>
        <w:t>Outcome 2: Mitigation measures developed for the fertilizer and petrochemical sectors</w:t>
      </w:r>
    </w:p>
    <w:p w:rsidR="008A41AB" w:rsidRDefault="008A41AB" w:rsidP="008A41AB">
      <w:pPr>
        <w:jc w:val="both"/>
        <w:rPr>
          <w:rFonts w:eastAsia="Times New Roman" w:cstheme="minorHAnsi"/>
        </w:rPr>
      </w:pPr>
      <w:r>
        <w:rPr>
          <w:rFonts w:eastAsia="Times New Roman" w:cstheme="minorHAnsi"/>
        </w:rPr>
        <w:t>No considerable activities took place under this outcome during this quarter due to the points explained in the summary update.</w:t>
      </w:r>
    </w:p>
    <w:p w:rsidR="008A41AB" w:rsidRDefault="008A41AB" w:rsidP="008A41AB">
      <w:pPr>
        <w:keepNext/>
        <w:jc w:val="both"/>
        <w:rPr>
          <w:rFonts w:eastAsia="Times New Roman" w:cstheme="minorHAnsi"/>
          <w:i/>
          <w:lang w:eastAsia="es-ES"/>
        </w:rPr>
      </w:pPr>
      <w:r>
        <w:rPr>
          <w:rFonts w:eastAsia="Times New Roman" w:cstheme="minorHAnsi"/>
          <w:i/>
          <w:u w:val="single"/>
          <w:lang w:eastAsia="es-ES"/>
        </w:rPr>
        <w:t>Outcome 3: MRV systems have been created to support implementation of the industry’s sectoral strategic investment plan for the fertilizer and petrochemical sectors</w:t>
      </w:r>
    </w:p>
    <w:p w:rsidR="008A41AB" w:rsidRDefault="008A41AB" w:rsidP="008A41AB">
      <w:pPr>
        <w:jc w:val="both"/>
        <w:rPr>
          <w:rFonts w:eastAsia="Times New Roman" w:cstheme="minorHAnsi"/>
        </w:rPr>
      </w:pPr>
      <w:r>
        <w:rPr>
          <w:rFonts w:eastAsia="Times New Roman" w:cstheme="minorHAnsi"/>
        </w:rPr>
        <w:t>No considerable activities took place under this outcome during this quarter due to the points explained in the summary update.</w:t>
      </w:r>
    </w:p>
    <w:p w:rsidR="008A41AB" w:rsidRDefault="008A41AB" w:rsidP="008A41AB">
      <w:pPr>
        <w:keepNext/>
        <w:jc w:val="both"/>
        <w:rPr>
          <w:rFonts w:eastAsia="Times New Roman" w:cstheme="minorHAnsi"/>
          <w:i/>
          <w:u w:val="single"/>
          <w:lang w:eastAsia="es-ES"/>
        </w:rPr>
      </w:pPr>
      <w:r>
        <w:rPr>
          <w:rFonts w:eastAsia="Times New Roman" w:cstheme="minorHAnsi"/>
          <w:i/>
          <w:u w:val="single"/>
          <w:lang w:eastAsia="es-ES"/>
        </w:rPr>
        <w:t>Outcome 4: Capacity-building for mainstreaming project outcomes into the decision-making process of the Government Committee on Climate Change</w:t>
      </w:r>
    </w:p>
    <w:p w:rsidR="008A41AB" w:rsidRDefault="008A41AB" w:rsidP="008A41AB">
      <w:pPr>
        <w:jc w:val="both"/>
        <w:rPr>
          <w:rFonts w:eastAsiaTheme="minorHAnsi"/>
        </w:rPr>
      </w:pPr>
      <w:r>
        <w:t>The capacity building activities continued in terms of the preparation of the national GHG inventory, mitigation measures, as well as the capacity building activities related to the sectors involved in the requests from the National Climate Change Directorate as mentioned above under summary update. An additional expert has been hired in May to strengthen the national LECB team and particularly support the LECB project manager under this outcome.</w:t>
      </w:r>
    </w:p>
    <w:p w:rsidR="008A41AB" w:rsidRDefault="008A41AB" w:rsidP="008A41AB">
      <w:pPr>
        <w:jc w:val="both"/>
      </w:pPr>
      <w:r>
        <w:t>The national LECB team was also invited to participate in the newly established sectoral working groups that contribute to the stocktaking and decision-making process of the National Climate Change Office. In this context</w:t>
      </w:r>
      <w:r>
        <w:t>,</w:t>
      </w:r>
      <w:r>
        <w:t xml:space="preserve"> the national LECB team prepared results summaries on work performed and outputs achieved to date within the framework of LECB project. Results have been analyzed and available supporting documentation of various mitigation measures considered for each sector is being assessed.</w:t>
      </w:r>
    </w:p>
    <w:p w:rsidR="008A41AB" w:rsidRDefault="008A41AB" w:rsidP="008A41AB">
      <w:pPr>
        <w:jc w:val="both"/>
      </w:pPr>
      <w:r>
        <w:rPr>
          <w:rFonts w:cs="Arial"/>
        </w:rPr>
        <w:t>Capacity building activities also took place in the context of the INDC. Information and advice have been provided to the new Director General regarding the (I)NDC development and review process carried out in the country since October 2015</w:t>
      </w:r>
      <w:r>
        <w:t>.</w:t>
      </w:r>
    </w:p>
    <w:p w:rsidR="00CC5BB0" w:rsidRDefault="00CC5BB0" w:rsidP="008A41AB">
      <w:pPr>
        <w:jc w:val="both"/>
      </w:pPr>
      <w:r>
        <w:br w:type="page"/>
      </w:r>
    </w:p>
    <w:p w:rsidR="00CC5BB0" w:rsidRDefault="00CC5BB0" w:rsidP="008A41AB">
      <w:pPr>
        <w:jc w:val="both"/>
      </w:pPr>
    </w:p>
    <w:p w:rsidR="00E5336F" w:rsidRDefault="00E5336F" w:rsidP="00E5336F">
      <w:pPr>
        <w:shd w:val="clear" w:color="auto" w:fill="4F81BD"/>
        <w:jc w:val="both"/>
        <w:rPr>
          <w:rFonts w:cstheme="minorHAnsi"/>
          <w:b/>
          <w:bCs/>
          <w:smallCaps/>
          <w:color w:val="FFFFFF"/>
          <w:lang w:eastAsia="de-DE"/>
        </w:rPr>
      </w:pPr>
      <w:proofErr w:type="gramStart"/>
      <w:r>
        <w:rPr>
          <w:rFonts w:cstheme="minorHAnsi"/>
          <w:b/>
          <w:bCs/>
          <w:smallCaps/>
          <w:color w:val="FFFFFF"/>
          <w:lang w:eastAsia="de-DE"/>
        </w:rPr>
        <w:t xml:space="preserve">Argentina </w:t>
      </w:r>
      <w:r>
        <w:rPr>
          <w:rFonts w:cstheme="minorHAnsi"/>
          <w:b/>
          <w:bCs/>
          <w:smallCaps/>
          <w:color w:val="FFFFFF"/>
          <w:lang w:eastAsia="de-DE"/>
        </w:rPr>
        <w:t xml:space="preserve"> Q</w:t>
      </w:r>
      <w:proofErr w:type="gramEnd"/>
      <w:r>
        <w:rPr>
          <w:rFonts w:cstheme="minorHAnsi"/>
          <w:b/>
          <w:bCs/>
          <w:smallCaps/>
          <w:color w:val="FFFFFF"/>
          <w:lang w:eastAsia="de-DE"/>
        </w:rPr>
        <w:t>3 2016</w:t>
      </w:r>
    </w:p>
    <w:p w:rsidR="00E5336F" w:rsidRDefault="00E5336F" w:rsidP="00E5336F">
      <w:pPr>
        <w:jc w:val="both"/>
        <w:rPr>
          <w:rFonts w:eastAsia="Times New Roman" w:cstheme="minorHAnsi"/>
          <w:lang w:eastAsia="es-ES"/>
        </w:rPr>
      </w:pPr>
      <w:r>
        <w:rPr>
          <w:rFonts w:eastAsia="Times New Roman" w:cstheme="minorHAnsi"/>
          <w:b/>
          <w:lang w:eastAsia="es-ES"/>
        </w:rPr>
        <w:t>Area:</w:t>
      </w:r>
      <w:r>
        <w:rPr>
          <w:rFonts w:eastAsia="Times New Roman" w:cstheme="minorHAnsi"/>
          <w:lang w:eastAsia="es-ES"/>
        </w:rPr>
        <w:t xml:space="preserve"> Public/Industry</w:t>
      </w:r>
    </w:p>
    <w:p w:rsidR="00E5336F" w:rsidRDefault="00E5336F" w:rsidP="00E5336F">
      <w:pPr>
        <w:jc w:val="both"/>
        <w:rPr>
          <w:rFonts w:eastAsia="Times New Roman" w:cstheme="minorHAnsi"/>
          <w:lang w:eastAsia="es-ES"/>
        </w:rPr>
      </w:pPr>
      <w:r>
        <w:rPr>
          <w:rFonts w:eastAsia="Times New Roman" w:cstheme="minorHAnsi"/>
          <w:b/>
          <w:lang w:eastAsia="es-ES"/>
        </w:rPr>
        <w:t>Scope:</w:t>
      </w:r>
      <w:r>
        <w:rPr>
          <w:rFonts w:eastAsia="Times New Roman" w:cstheme="minorHAnsi"/>
          <w:lang w:eastAsia="es-ES"/>
        </w:rPr>
        <w:t xml:space="preserve"> GHG Inventory System, NAMAs, LEDS, MRV</w:t>
      </w:r>
      <w:r>
        <w:rPr>
          <w:rStyle w:val="FootnoteReference"/>
          <w:rFonts w:eastAsia="Times New Roman" w:cstheme="minorHAnsi"/>
          <w:lang w:eastAsia="es-ES"/>
        </w:rPr>
        <w:footnoteReference w:id="1"/>
      </w:r>
    </w:p>
    <w:p w:rsidR="00E5336F" w:rsidRDefault="00E5336F" w:rsidP="00E5336F">
      <w:pPr>
        <w:jc w:val="both"/>
        <w:rPr>
          <w:rFonts w:eastAsia="Times New Roman" w:cstheme="minorHAnsi"/>
          <w:lang w:eastAsia="es-ES"/>
        </w:rPr>
      </w:pPr>
      <w:r>
        <w:rPr>
          <w:rFonts w:eastAsia="Times New Roman" w:cstheme="minorHAnsi"/>
          <w:b/>
          <w:lang w:eastAsia="es-ES"/>
        </w:rPr>
        <w:t>Sectors:</w:t>
      </w:r>
      <w:r>
        <w:rPr>
          <w:rFonts w:eastAsia="Times New Roman" w:cstheme="minorHAnsi"/>
          <w:lang w:eastAsia="es-ES"/>
        </w:rPr>
        <w:t xml:space="preserve"> Industry, Energy, Transport, Agroindustry and Solid Waste Management</w:t>
      </w:r>
      <w:r>
        <w:rPr>
          <w:rStyle w:val="FootnoteReference"/>
          <w:rFonts w:eastAsia="Times New Roman" w:cstheme="minorHAnsi"/>
          <w:lang w:eastAsia="es-ES"/>
        </w:rPr>
        <w:footnoteReference w:id="2"/>
      </w:r>
    </w:p>
    <w:p w:rsidR="00E5336F" w:rsidRDefault="00E5336F" w:rsidP="00E5336F">
      <w:pPr>
        <w:jc w:val="both"/>
        <w:rPr>
          <w:rFonts w:eastAsia="Times New Roman" w:cstheme="minorHAnsi"/>
          <w:lang w:eastAsia="es-ES"/>
        </w:rPr>
      </w:pPr>
      <w:r>
        <w:rPr>
          <w:rFonts w:eastAsia="Times New Roman" w:cstheme="minorHAnsi"/>
          <w:b/>
          <w:lang w:eastAsia="es-ES"/>
        </w:rPr>
        <w:t>National Implementing Agency:</w:t>
      </w:r>
      <w:r>
        <w:rPr>
          <w:rFonts w:eastAsia="Times New Roman" w:cstheme="minorHAnsi"/>
          <w:lang w:eastAsia="es-ES"/>
        </w:rPr>
        <w:t xml:space="preserve"> Energy and Mining Ministry; Production Ministry; Environmental and Sustainable Development Ministry; Ministry of Science, Technology and Productive Innovation; Ministry of Agriculture, Livestock and Fisheries and the Federal Council of the Environment</w:t>
      </w:r>
    </w:p>
    <w:p w:rsidR="00E5336F" w:rsidRDefault="00E5336F" w:rsidP="00E5336F">
      <w:pPr>
        <w:jc w:val="both"/>
        <w:rPr>
          <w:rFonts w:eastAsia="Times New Roman" w:cs="Arial"/>
          <w:b/>
          <w:lang w:eastAsia="es-ES"/>
        </w:rPr>
      </w:pPr>
      <w:r>
        <w:rPr>
          <w:rFonts w:eastAsia="Times New Roman" w:cs="Arial"/>
          <w:b/>
          <w:lang w:eastAsia="es-ES"/>
        </w:rPr>
        <w:t>Summary update</w:t>
      </w:r>
    </w:p>
    <w:p w:rsidR="00E5336F" w:rsidRDefault="00E5336F" w:rsidP="00E5336F">
      <w:pPr>
        <w:jc w:val="both"/>
        <w:rPr>
          <w:rFonts w:eastAsia="Times New Roman" w:cs="Times New Roman"/>
          <w:lang w:eastAsia="es-ES"/>
        </w:rPr>
      </w:pPr>
      <w:r>
        <w:rPr>
          <w:rFonts w:eastAsia="Times New Roman" w:cs="Times New Roman"/>
          <w:lang w:eastAsia="es-ES"/>
        </w:rPr>
        <w:t>Through the activities under outcome 4, the national LECB team assisted the new government (new ministerial body National Office for Climate Change) in the review and adoption of the NDC in terms of new programs and economic policies. The national LECB team participated in the sectoral committees of each ministry with a total of 20 meetings, and prepared studies related to the NDC to support the new government agency (National Office for Change Climate) in its decision-making. The aim of these studies is to review the proposed measures with regards to the new government’s policies, to verify their viability in sectoral plans and to incorporate the sectoral commitments. This work facilitated an open exchange with other government sectors with positive results at the technical and political level of each ministry.</w:t>
      </w:r>
    </w:p>
    <w:p w:rsidR="00E5336F" w:rsidRDefault="00E5336F" w:rsidP="00E5336F">
      <w:pPr>
        <w:jc w:val="both"/>
        <w:rPr>
          <w:rFonts w:eastAsia="Times New Roman" w:cs="Times New Roman"/>
          <w:lang w:eastAsia="es-ES"/>
        </w:rPr>
      </w:pPr>
      <w:r>
        <w:rPr>
          <w:rFonts w:eastAsia="Times New Roman" w:cs="Times New Roman"/>
          <w:lang w:eastAsia="es-ES"/>
        </w:rPr>
        <w:t xml:space="preserve">At the request of the government the national LECB team expanded the scope of the original LECB project, from focusing only on petrochemicals and fertilizers, to now also incorporate five additional sectors (Energy, Transport, Industry, </w:t>
      </w:r>
      <w:proofErr w:type="spellStart"/>
      <w:r>
        <w:rPr>
          <w:rFonts w:eastAsia="Times New Roman" w:cs="Times New Roman"/>
          <w:lang w:eastAsia="es-ES"/>
        </w:rPr>
        <w:t>Agro</w:t>
      </w:r>
      <w:proofErr w:type="spellEnd"/>
      <w:r>
        <w:rPr>
          <w:rFonts w:eastAsia="Times New Roman" w:cs="Times New Roman"/>
          <w:lang w:eastAsia="es-ES"/>
        </w:rPr>
        <w:t>-industry and Solid Waste Management) aimed at developing sectoral mitigation plans (including a monitoring system for implementation). These five sectors, apart from being large GHG emitters, are related to the earlier studies on petrochemical and fertilizers industry. These studies will contribute to the design, implementation and monitoring of sectoral mitigation measures in the NDC.</w:t>
      </w:r>
    </w:p>
    <w:p w:rsidR="00E5336F" w:rsidRDefault="00E5336F" w:rsidP="00E5336F">
      <w:pPr>
        <w:jc w:val="both"/>
        <w:rPr>
          <w:rFonts w:eastAsia="Times New Roman" w:cs="Times New Roman"/>
          <w:lang w:eastAsia="es-ES"/>
        </w:rPr>
      </w:pPr>
      <w:r>
        <w:rPr>
          <w:rFonts w:eastAsia="Times New Roman" w:cs="Times New Roman"/>
          <w:lang w:eastAsia="es-ES"/>
        </w:rPr>
        <w:t>It is planned to review the NDC together with the involved sectors, to develop sectoral mitigation plans that will include technical requirements, co-benefits, financing and MRV systems. The aim is to:</w:t>
      </w:r>
    </w:p>
    <w:p w:rsidR="00E5336F" w:rsidRDefault="00E5336F" w:rsidP="00E5336F">
      <w:pPr>
        <w:pStyle w:val="ListParagraph"/>
        <w:numPr>
          <w:ilvl w:val="0"/>
          <w:numId w:val="2"/>
        </w:numPr>
        <w:spacing w:line="276" w:lineRule="auto"/>
        <w:jc w:val="both"/>
        <w:rPr>
          <w:rFonts w:asciiTheme="minorHAnsi" w:eastAsia="Times New Roman" w:hAnsiTheme="minorHAnsi" w:cs="Times New Roman"/>
          <w:lang w:eastAsia="es-ES"/>
        </w:rPr>
      </w:pPr>
      <w:r>
        <w:rPr>
          <w:rFonts w:asciiTheme="minorHAnsi" w:eastAsia="Times New Roman" w:hAnsiTheme="minorHAnsi" w:cs="Times New Roman"/>
          <w:lang w:eastAsia="es-ES"/>
        </w:rPr>
        <w:t>Develop capacity in the National Office of Climate Change ensuring a continuous review of NDC aspects, ensuring that sectoral agencies take them into account and contribute to NDC implementation.</w:t>
      </w:r>
    </w:p>
    <w:p w:rsidR="00E5336F" w:rsidRDefault="00E5336F" w:rsidP="00E5336F">
      <w:pPr>
        <w:pStyle w:val="ListParagraph"/>
        <w:numPr>
          <w:ilvl w:val="0"/>
          <w:numId w:val="2"/>
        </w:numPr>
        <w:spacing w:line="276" w:lineRule="auto"/>
        <w:jc w:val="both"/>
        <w:rPr>
          <w:rFonts w:asciiTheme="minorHAnsi" w:eastAsia="Times New Roman" w:hAnsiTheme="minorHAnsi" w:cs="Times New Roman"/>
          <w:lang w:eastAsia="es-ES"/>
        </w:rPr>
      </w:pPr>
      <w:r>
        <w:rPr>
          <w:rFonts w:asciiTheme="minorHAnsi" w:eastAsia="Times New Roman" w:hAnsiTheme="minorHAnsi" w:cs="Times New Roman"/>
          <w:lang w:eastAsia="es-ES"/>
        </w:rPr>
        <w:t>Identify actions and design mitigation plans.</w:t>
      </w:r>
    </w:p>
    <w:p w:rsidR="00E5336F" w:rsidRDefault="00E5336F" w:rsidP="00E5336F">
      <w:pPr>
        <w:pStyle w:val="ListParagraph"/>
        <w:numPr>
          <w:ilvl w:val="0"/>
          <w:numId w:val="2"/>
        </w:numPr>
        <w:spacing w:line="276" w:lineRule="auto"/>
        <w:jc w:val="both"/>
        <w:rPr>
          <w:rFonts w:asciiTheme="minorHAnsi" w:eastAsia="Times New Roman" w:hAnsiTheme="minorHAnsi" w:cs="Times New Roman"/>
          <w:lang w:eastAsia="es-ES"/>
        </w:rPr>
      </w:pPr>
      <w:r>
        <w:rPr>
          <w:rFonts w:asciiTheme="minorHAnsi" w:eastAsia="Times New Roman" w:hAnsiTheme="minorHAnsi" w:cs="Times New Roman"/>
          <w:lang w:eastAsia="es-ES"/>
        </w:rPr>
        <w:t>Develop and implement monitoring systems for the sectoral plans and selected mitigation measures.</w:t>
      </w:r>
    </w:p>
    <w:p w:rsidR="00E5336F" w:rsidRDefault="00E5336F" w:rsidP="00E5336F">
      <w:pPr>
        <w:jc w:val="both"/>
        <w:rPr>
          <w:rFonts w:eastAsia="Times New Roman" w:cstheme="minorHAnsi"/>
        </w:rPr>
      </w:pPr>
    </w:p>
    <w:p w:rsidR="00E5336F" w:rsidRDefault="00E5336F" w:rsidP="00E5336F">
      <w:pPr>
        <w:jc w:val="both"/>
        <w:rPr>
          <w:rFonts w:eastAsia="Times New Roman" w:cstheme="minorHAnsi"/>
          <w:i/>
          <w:lang w:eastAsia="es-ES"/>
        </w:rPr>
      </w:pPr>
      <w:r>
        <w:rPr>
          <w:rFonts w:eastAsia="Times New Roman" w:cstheme="minorHAnsi"/>
          <w:i/>
          <w:u w:val="single"/>
          <w:lang w:eastAsia="es-ES"/>
        </w:rPr>
        <w:lastRenderedPageBreak/>
        <w:t>Outcome 1: GHG emission inventory system strengthened and revised for the fertilizer and petrochemical industries</w:t>
      </w:r>
      <w:r>
        <w:rPr>
          <w:rFonts w:eastAsia="Times New Roman" w:cstheme="minorHAnsi"/>
          <w:u w:val="single"/>
          <w:lang w:eastAsia="es-ES"/>
        </w:rPr>
        <w:t xml:space="preserve">; </w:t>
      </w:r>
      <w:r>
        <w:rPr>
          <w:rFonts w:eastAsia="Times New Roman" w:cstheme="minorHAnsi"/>
          <w:i/>
          <w:u w:val="single"/>
          <w:lang w:eastAsia="es-ES"/>
        </w:rPr>
        <w:t>Outcome 2: Mitigation measures developed for the fertilizer and petrochemical sectors, and Outcome 3: MRV systems have been created to support implementation of the industry’s sectoral strategic investment plan for the fertilizer and petrochemical sectors</w:t>
      </w:r>
    </w:p>
    <w:p w:rsidR="00E5336F" w:rsidRDefault="00E5336F" w:rsidP="00E5336F">
      <w:pPr>
        <w:jc w:val="both"/>
      </w:pPr>
      <w:r>
        <w:t>During this reporting period, no activities were undertaken under these outcome, as these are being reformulated under the new project’s scope.</w:t>
      </w:r>
    </w:p>
    <w:p w:rsidR="00E5336F" w:rsidRDefault="00E5336F" w:rsidP="00E5336F">
      <w:pPr>
        <w:jc w:val="both"/>
        <w:rPr>
          <w:rFonts w:eastAsia="Times New Roman" w:cstheme="minorHAnsi"/>
          <w:i/>
          <w:u w:val="single"/>
          <w:lang w:eastAsia="es-ES"/>
        </w:rPr>
      </w:pPr>
      <w:r>
        <w:rPr>
          <w:rFonts w:eastAsia="Times New Roman" w:cstheme="minorHAnsi"/>
          <w:i/>
          <w:u w:val="single"/>
          <w:lang w:eastAsia="es-ES"/>
        </w:rPr>
        <w:t>Outcome 4: Capacity-building for mainstreaming project outcomes into the decision-making process of the Government Committee on Climate Change</w:t>
      </w:r>
    </w:p>
    <w:p w:rsidR="00E5336F" w:rsidRDefault="00E5336F" w:rsidP="00E5336F">
      <w:pPr>
        <w:jc w:val="both"/>
      </w:pPr>
      <w:r>
        <w:t xml:space="preserve">Two national experts supported the technical staff from the government in the review, recalculation and validation of the measures proposed in the INDC, adapting them to the new economic policy, identifying a schedule of action and priorities for implementation. Mitigation measures in the sectors energy, industry, </w:t>
      </w:r>
      <w:proofErr w:type="spellStart"/>
      <w:r>
        <w:t>agro</w:t>
      </w:r>
      <w:proofErr w:type="spellEnd"/>
      <w:r>
        <w:t>-business, transportation and municipal and industrial waste were modified and added, applying IPCC methodologies from 1996 and 2006. The activities mainly supported and trained public agencies to:</w:t>
      </w:r>
    </w:p>
    <w:p w:rsidR="00E5336F" w:rsidRDefault="00E5336F" w:rsidP="00E5336F">
      <w:pPr>
        <w:pStyle w:val="ListParagraph"/>
        <w:numPr>
          <w:ilvl w:val="0"/>
          <w:numId w:val="3"/>
        </w:numPr>
        <w:spacing w:line="276" w:lineRule="auto"/>
        <w:jc w:val="both"/>
        <w:rPr>
          <w:rFonts w:asciiTheme="minorHAnsi" w:hAnsiTheme="minorHAnsi"/>
        </w:rPr>
      </w:pPr>
      <w:r>
        <w:rPr>
          <w:rFonts w:asciiTheme="minorHAnsi" w:hAnsiTheme="minorHAnsi"/>
        </w:rPr>
        <w:t>Identify, assess and incorporate new proposed measures.</w:t>
      </w:r>
    </w:p>
    <w:p w:rsidR="00E5336F" w:rsidRDefault="00E5336F" w:rsidP="00E5336F">
      <w:pPr>
        <w:pStyle w:val="ListParagraph"/>
        <w:numPr>
          <w:ilvl w:val="0"/>
          <w:numId w:val="3"/>
        </w:numPr>
        <w:spacing w:line="276" w:lineRule="auto"/>
        <w:jc w:val="both"/>
        <w:rPr>
          <w:rFonts w:asciiTheme="minorHAnsi" w:hAnsiTheme="minorHAnsi"/>
        </w:rPr>
      </w:pPr>
      <w:r>
        <w:rPr>
          <w:rFonts w:asciiTheme="minorHAnsi" w:hAnsiTheme="minorHAnsi"/>
        </w:rPr>
        <w:t>Review and validate existing mitigation measures of the NDC.</w:t>
      </w:r>
    </w:p>
    <w:p w:rsidR="00E5336F" w:rsidRDefault="00E5336F" w:rsidP="00E5336F">
      <w:pPr>
        <w:pStyle w:val="ListParagraph"/>
        <w:numPr>
          <w:ilvl w:val="0"/>
          <w:numId w:val="3"/>
        </w:numPr>
        <w:spacing w:line="276" w:lineRule="auto"/>
        <w:jc w:val="both"/>
        <w:rPr>
          <w:rFonts w:asciiTheme="minorHAnsi" w:hAnsiTheme="minorHAnsi"/>
        </w:rPr>
      </w:pPr>
      <w:r>
        <w:rPr>
          <w:rFonts w:asciiTheme="minorHAnsi" w:hAnsiTheme="minorHAnsi"/>
        </w:rPr>
        <w:t>Harmonize calculation criteria for different parameters.</w:t>
      </w:r>
    </w:p>
    <w:p w:rsidR="00E5336F" w:rsidRDefault="00E5336F" w:rsidP="00E5336F">
      <w:pPr>
        <w:pStyle w:val="ListParagraph"/>
        <w:numPr>
          <w:ilvl w:val="0"/>
          <w:numId w:val="3"/>
        </w:numPr>
        <w:spacing w:line="276" w:lineRule="auto"/>
        <w:jc w:val="both"/>
        <w:rPr>
          <w:rFonts w:asciiTheme="minorHAnsi" w:hAnsiTheme="minorHAnsi"/>
        </w:rPr>
      </w:pPr>
      <w:r>
        <w:rPr>
          <w:rFonts w:asciiTheme="minorHAnsi" w:hAnsiTheme="minorHAnsi"/>
        </w:rPr>
        <w:t>Ensure ownership over this process is by the responsible sectors to develop sectoral mitigation plans.</w:t>
      </w:r>
    </w:p>
    <w:p w:rsidR="00E5336F" w:rsidRDefault="00E5336F" w:rsidP="00E5336F">
      <w:pPr>
        <w:pStyle w:val="ListParagraph"/>
        <w:numPr>
          <w:ilvl w:val="0"/>
          <w:numId w:val="3"/>
        </w:numPr>
        <w:spacing w:line="276" w:lineRule="auto"/>
        <w:jc w:val="both"/>
        <w:rPr>
          <w:rFonts w:asciiTheme="minorHAnsi" w:hAnsiTheme="minorHAnsi"/>
        </w:rPr>
      </w:pPr>
      <w:r>
        <w:rPr>
          <w:rFonts w:asciiTheme="minorHAnsi" w:hAnsiTheme="minorHAnsi"/>
        </w:rPr>
        <w:t>Recalculate the Baseline (BAU) to include new criteria of economic management.</w:t>
      </w:r>
    </w:p>
    <w:p w:rsidR="00E5336F" w:rsidRDefault="00E5336F" w:rsidP="00E5336F">
      <w:pPr>
        <w:pStyle w:val="ListParagraph"/>
        <w:numPr>
          <w:ilvl w:val="0"/>
          <w:numId w:val="3"/>
        </w:numPr>
        <w:spacing w:line="276" w:lineRule="auto"/>
        <w:jc w:val="both"/>
        <w:rPr>
          <w:rFonts w:asciiTheme="minorHAnsi" w:hAnsiTheme="minorHAnsi"/>
        </w:rPr>
      </w:pPr>
      <w:r>
        <w:rPr>
          <w:rFonts w:asciiTheme="minorHAnsi" w:hAnsiTheme="minorHAnsi"/>
        </w:rPr>
        <w:t>Obtain disaggregated information to recalculate existing measures and to incorporate new ones.</w:t>
      </w:r>
    </w:p>
    <w:p w:rsidR="00E5336F" w:rsidRDefault="00E5336F" w:rsidP="00E5336F">
      <w:pPr>
        <w:pStyle w:val="ListParagraph"/>
        <w:numPr>
          <w:ilvl w:val="0"/>
          <w:numId w:val="3"/>
        </w:numPr>
        <w:spacing w:line="276" w:lineRule="auto"/>
        <w:jc w:val="both"/>
        <w:rPr>
          <w:rFonts w:asciiTheme="minorHAnsi" w:hAnsiTheme="minorHAnsi"/>
        </w:rPr>
      </w:pPr>
      <w:r>
        <w:rPr>
          <w:rFonts w:asciiTheme="minorHAnsi" w:hAnsiTheme="minorHAnsi"/>
        </w:rPr>
        <w:t>Include new measures in the energy sector and to consolidate them with existing ones for small and medium enterprises.</w:t>
      </w:r>
    </w:p>
    <w:p w:rsidR="00E5336F" w:rsidRDefault="00E5336F" w:rsidP="00E5336F">
      <w:pPr>
        <w:pStyle w:val="ListParagraph"/>
        <w:numPr>
          <w:ilvl w:val="0"/>
          <w:numId w:val="3"/>
        </w:numPr>
        <w:spacing w:line="276" w:lineRule="auto"/>
        <w:jc w:val="both"/>
        <w:rPr>
          <w:rFonts w:asciiTheme="minorHAnsi" w:hAnsiTheme="minorHAnsi"/>
        </w:rPr>
      </w:pPr>
      <w:r>
        <w:rPr>
          <w:rFonts w:asciiTheme="minorHAnsi" w:hAnsiTheme="minorHAnsi"/>
        </w:rPr>
        <w:t>Carry out a sensitivity analysis for two calculation methods, analyzing their impact on the different measures.</w:t>
      </w:r>
    </w:p>
    <w:p w:rsidR="00E5336F" w:rsidRDefault="00E5336F" w:rsidP="00E5336F">
      <w:pPr>
        <w:pStyle w:val="ListParagraph"/>
        <w:numPr>
          <w:ilvl w:val="0"/>
          <w:numId w:val="3"/>
        </w:numPr>
        <w:spacing w:line="276" w:lineRule="auto"/>
        <w:jc w:val="both"/>
        <w:rPr>
          <w:rFonts w:asciiTheme="minorHAnsi" w:hAnsiTheme="minorHAnsi"/>
        </w:rPr>
      </w:pPr>
      <w:r>
        <w:rPr>
          <w:rFonts w:asciiTheme="minorHAnsi" w:hAnsiTheme="minorHAnsi"/>
        </w:rPr>
        <w:t>Establish quantitative criteria to define new measures.</w:t>
      </w:r>
    </w:p>
    <w:p w:rsidR="00E5336F" w:rsidRDefault="00E5336F" w:rsidP="00E5336F">
      <w:pPr>
        <w:pStyle w:val="ListParagraph"/>
        <w:numPr>
          <w:ilvl w:val="0"/>
          <w:numId w:val="3"/>
        </w:numPr>
        <w:spacing w:line="276" w:lineRule="auto"/>
        <w:jc w:val="both"/>
        <w:rPr>
          <w:rFonts w:asciiTheme="minorHAnsi" w:hAnsiTheme="minorHAnsi"/>
        </w:rPr>
      </w:pPr>
      <w:r>
        <w:rPr>
          <w:rFonts w:asciiTheme="minorHAnsi" w:hAnsiTheme="minorHAnsi"/>
        </w:rPr>
        <w:t>Recalculate certain measures using the definitions of IPCC 2006.</w:t>
      </w:r>
    </w:p>
    <w:p w:rsidR="00E5336F" w:rsidRDefault="00E5336F" w:rsidP="00E5336F">
      <w:pPr>
        <w:pStyle w:val="ListParagraph"/>
        <w:numPr>
          <w:ilvl w:val="0"/>
          <w:numId w:val="3"/>
        </w:numPr>
        <w:spacing w:line="276" w:lineRule="auto"/>
        <w:jc w:val="both"/>
        <w:rPr>
          <w:rFonts w:asciiTheme="minorHAnsi" w:hAnsiTheme="minorHAnsi"/>
        </w:rPr>
      </w:pPr>
      <w:r>
        <w:rPr>
          <w:rFonts w:asciiTheme="minorHAnsi" w:hAnsiTheme="minorHAnsi"/>
        </w:rPr>
        <w:t>Review income schedules for large hydro and nuclear power generation plants.</w:t>
      </w:r>
    </w:p>
    <w:p w:rsidR="00E5336F" w:rsidRDefault="00E5336F" w:rsidP="00E5336F">
      <w:pPr>
        <w:jc w:val="both"/>
        <w:rPr>
          <w:rFonts w:cstheme="minorHAnsi"/>
        </w:rPr>
      </w:pPr>
    </w:p>
    <w:p w:rsidR="00E5336F" w:rsidRDefault="00E5336F" w:rsidP="00E5336F">
      <w:pPr>
        <w:shd w:val="clear" w:color="auto" w:fill="4F81BD"/>
        <w:rPr>
          <w:rFonts w:cstheme="minorHAnsi"/>
          <w:b/>
          <w:bCs/>
          <w:smallCaps/>
          <w:color w:val="FFFFFF"/>
          <w:lang w:eastAsia="de-DE"/>
        </w:rPr>
      </w:pPr>
      <w:r>
        <w:rPr>
          <w:rFonts w:cstheme="minorHAnsi"/>
          <w:b/>
          <w:bCs/>
          <w:smallCaps/>
          <w:color w:val="FFFFFF"/>
          <w:lang w:eastAsia="de-DE"/>
        </w:rPr>
        <w:t>Argentina</w:t>
      </w:r>
      <w:r>
        <w:rPr>
          <w:rFonts w:cstheme="minorHAnsi"/>
          <w:b/>
          <w:bCs/>
          <w:smallCaps/>
          <w:color w:val="FFFFFF"/>
          <w:lang w:eastAsia="de-DE"/>
        </w:rPr>
        <w:t xml:space="preserve"> Q4 2016</w:t>
      </w:r>
    </w:p>
    <w:p w:rsidR="00E5336F" w:rsidRDefault="00E5336F" w:rsidP="00E5336F">
      <w:pPr>
        <w:rPr>
          <w:rFonts w:eastAsia="Times New Roman" w:cstheme="minorHAnsi"/>
          <w:lang w:eastAsia="es-ES"/>
        </w:rPr>
      </w:pPr>
      <w:r>
        <w:rPr>
          <w:rFonts w:eastAsia="Times New Roman" w:cstheme="minorHAnsi"/>
          <w:b/>
          <w:lang w:eastAsia="es-ES"/>
        </w:rPr>
        <w:t>Area:</w:t>
      </w:r>
      <w:r>
        <w:rPr>
          <w:rFonts w:eastAsia="Times New Roman" w:cstheme="minorHAnsi"/>
          <w:lang w:eastAsia="es-ES"/>
        </w:rPr>
        <w:t xml:space="preserve"> Public/Industry</w:t>
      </w:r>
    </w:p>
    <w:p w:rsidR="00E5336F" w:rsidRDefault="00E5336F" w:rsidP="00E5336F">
      <w:pPr>
        <w:rPr>
          <w:rFonts w:eastAsia="Times New Roman" w:cstheme="minorHAnsi"/>
          <w:lang w:eastAsia="es-ES"/>
        </w:rPr>
      </w:pPr>
      <w:r>
        <w:rPr>
          <w:rFonts w:eastAsia="Times New Roman" w:cstheme="minorHAnsi"/>
          <w:b/>
          <w:lang w:eastAsia="es-ES"/>
        </w:rPr>
        <w:t>Scope:</w:t>
      </w:r>
      <w:r>
        <w:rPr>
          <w:rFonts w:eastAsia="Times New Roman" w:cstheme="minorHAnsi"/>
          <w:lang w:eastAsia="es-ES"/>
        </w:rPr>
        <w:t xml:space="preserve"> GHG Inventory System, NAMAs, LEDS, MRV</w:t>
      </w:r>
      <w:r>
        <w:rPr>
          <w:rStyle w:val="FootnoteReference"/>
          <w:rFonts w:eastAsia="Times New Roman" w:cstheme="minorHAnsi"/>
          <w:lang w:eastAsia="es-ES"/>
        </w:rPr>
        <w:footnoteReference w:id="3"/>
      </w:r>
    </w:p>
    <w:p w:rsidR="00E5336F" w:rsidRDefault="00E5336F" w:rsidP="00E5336F">
      <w:pPr>
        <w:rPr>
          <w:rFonts w:eastAsia="Times New Roman" w:cstheme="minorHAnsi"/>
          <w:lang w:eastAsia="es-ES"/>
        </w:rPr>
      </w:pPr>
      <w:r>
        <w:rPr>
          <w:rFonts w:eastAsia="Times New Roman" w:cstheme="minorHAnsi"/>
          <w:b/>
          <w:lang w:eastAsia="es-ES"/>
        </w:rPr>
        <w:t>Sectors:</w:t>
      </w:r>
      <w:r>
        <w:rPr>
          <w:rFonts w:eastAsia="Times New Roman" w:cstheme="minorHAnsi"/>
          <w:lang w:eastAsia="es-ES"/>
        </w:rPr>
        <w:t xml:space="preserve"> Industry, Energy, Transport, Agroindustry and Solid Waste Management</w:t>
      </w:r>
      <w:r>
        <w:rPr>
          <w:rStyle w:val="FootnoteReference"/>
          <w:rFonts w:eastAsia="Times New Roman" w:cstheme="minorHAnsi"/>
          <w:lang w:eastAsia="es-ES"/>
        </w:rPr>
        <w:footnoteReference w:id="4"/>
      </w:r>
    </w:p>
    <w:p w:rsidR="00E5336F" w:rsidRDefault="00E5336F" w:rsidP="00E5336F">
      <w:pPr>
        <w:rPr>
          <w:rFonts w:eastAsia="Times New Roman" w:cstheme="minorHAnsi"/>
          <w:lang w:eastAsia="es-ES"/>
        </w:rPr>
      </w:pPr>
      <w:r>
        <w:rPr>
          <w:rFonts w:eastAsia="Times New Roman" w:cstheme="minorHAnsi"/>
          <w:b/>
          <w:lang w:eastAsia="es-ES"/>
        </w:rPr>
        <w:lastRenderedPageBreak/>
        <w:t>National Implementing Agency:</w:t>
      </w:r>
      <w:r>
        <w:rPr>
          <w:rFonts w:eastAsia="Times New Roman" w:cstheme="minorHAnsi"/>
          <w:lang w:eastAsia="es-ES"/>
        </w:rPr>
        <w:t xml:space="preserve"> Energy and Mining Ministry; Production Ministry; Environmental and Sustainable Development Ministry; Ministry of Science, Technology and Productive Innovation; Ministry of Agriculture, Livestock and Fisheries and the Federal Council of the Environment</w:t>
      </w:r>
    </w:p>
    <w:p w:rsidR="00E5336F" w:rsidRDefault="00E5336F" w:rsidP="00E5336F">
      <w:pPr>
        <w:rPr>
          <w:rFonts w:eastAsia="Times New Roman" w:cs="Arial"/>
          <w:b/>
          <w:lang w:eastAsia="es-ES"/>
        </w:rPr>
      </w:pPr>
      <w:r>
        <w:rPr>
          <w:rFonts w:eastAsia="Times New Roman" w:cs="Arial"/>
          <w:b/>
          <w:lang w:eastAsia="es-ES"/>
        </w:rPr>
        <w:t>Summary update</w:t>
      </w:r>
    </w:p>
    <w:p w:rsidR="00E5336F" w:rsidRDefault="00E5336F" w:rsidP="00E5336F">
      <w:pPr>
        <w:rPr>
          <w:rFonts w:eastAsia="Times New Roman" w:cs="Arial"/>
          <w:lang w:eastAsia="es-ES"/>
        </w:rPr>
      </w:pPr>
      <w:r>
        <w:rPr>
          <w:rFonts w:eastAsia="Times New Roman" w:cs="Arial"/>
          <w:lang w:eastAsia="es-ES"/>
        </w:rPr>
        <w:t>The national LECB team assisted the National Climate Change Cabinet and the National Climate Change Directorate to review Argentina’s NDC, requesting information from and meeting with different government agencies, chambers and organizations, to obtain and analyze information on greenhouse gas emissions. The revised NDC was presented at COP22. It presents a new goal of carbon dioxide equivalent emissions of 483 million tons of carbon dioxide equivalent (tCO</w:t>
      </w:r>
      <w:r>
        <w:rPr>
          <w:rFonts w:eastAsia="Times New Roman" w:cs="Arial"/>
          <w:vertAlign w:val="subscript"/>
          <w:lang w:eastAsia="es-ES"/>
        </w:rPr>
        <w:t>2</w:t>
      </w:r>
      <w:r>
        <w:rPr>
          <w:rFonts w:eastAsia="Times New Roman" w:cs="Arial"/>
          <w:lang w:eastAsia="es-ES"/>
        </w:rPr>
        <w:t xml:space="preserve">eq) in 2030 </w:t>
      </w:r>
      <w:proofErr w:type="gramStart"/>
      <w:r>
        <w:rPr>
          <w:rFonts w:eastAsia="Times New Roman" w:cs="Arial"/>
          <w:lang w:eastAsia="es-ES"/>
        </w:rPr>
        <w:t>as a result of</w:t>
      </w:r>
      <w:proofErr w:type="gramEnd"/>
      <w:r>
        <w:rPr>
          <w:rFonts w:eastAsia="Times New Roman" w:cs="Arial"/>
          <w:lang w:eastAsia="es-ES"/>
        </w:rPr>
        <w:t xml:space="preserve"> mitigation measures throughout the economy, focusing on the energy, agriculture, forestry, transport, industry and waste sectors.</w:t>
      </w:r>
    </w:p>
    <w:p w:rsidR="00E5336F" w:rsidRDefault="00E5336F" w:rsidP="00E5336F">
      <w:pPr>
        <w:rPr>
          <w:rFonts w:eastAsia="Times New Roman" w:cs="Arial"/>
          <w:lang w:eastAsia="es-ES"/>
        </w:rPr>
      </w:pPr>
      <w:r>
        <w:rPr>
          <w:rFonts w:eastAsia="Times New Roman" w:cs="Arial"/>
          <w:lang w:eastAsia="es-ES"/>
        </w:rPr>
        <w:t>The national LECB team and the National Climate Change Directorate reviewed the LECB Project Document to include further activities, in agreement with the government’s new approach that appears in the strategy outlined by National Climate Change Cabinet. In December 2016 three new outputs were included for attainment by 31 December 2017, using available funds.</w:t>
      </w:r>
    </w:p>
    <w:p w:rsidR="00E5336F" w:rsidRDefault="00E5336F" w:rsidP="00E5336F">
      <w:pPr>
        <w:rPr>
          <w:rFonts w:eastAsia="Times New Roman" w:cstheme="minorHAnsi"/>
          <w:i/>
          <w:u w:val="single"/>
          <w:lang w:eastAsia="es-ES"/>
        </w:rPr>
      </w:pPr>
      <w:r>
        <w:rPr>
          <w:rFonts w:eastAsia="Times New Roman" w:cstheme="minorHAnsi"/>
          <w:i/>
          <w:u w:val="single"/>
          <w:lang w:eastAsia="es-ES"/>
        </w:rPr>
        <w:t>Outcome 1: GHG emission inventory system strengthened and revised for the fertilizer and petrochemical industries</w:t>
      </w:r>
      <w:r>
        <w:rPr>
          <w:rFonts w:eastAsia="Times New Roman" w:cstheme="minorHAnsi"/>
          <w:u w:val="single"/>
          <w:lang w:eastAsia="es-ES"/>
        </w:rPr>
        <w:t xml:space="preserve">; </w:t>
      </w:r>
      <w:r>
        <w:rPr>
          <w:rFonts w:eastAsia="Times New Roman" w:cstheme="minorHAnsi"/>
          <w:i/>
          <w:u w:val="single"/>
          <w:lang w:eastAsia="es-ES"/>
        </w:rPr>
        <w:t>Outcome 2: Mitigation measures developed for the fertilizer and petrochemical sectors, and Outcome 3: MRV systems have been created to support implementation of the industry’s sectoral strategic investment plan for the fertilizer and petrochemical sectors</w:t>
      </w:r>
    </w:p>
    <w:p w:rsidR="00E5336F" w:rsidRDefault="00E5336F" w:rsidP="00E5336F">
      <w:pPr>
        <w:rPr>
          <w:rFonts w:eastAsiaTheme="minorHAnsi"/>
        </w:rPr>
      </w:pPr>
      <w:r>
        <w:rPr>
          <w:rFonts w:eastAsia="Times New Roman" w:cs="Times New Roman"/>
          <w:lang w:eastAsia="es-ES"/>
        </w:rPr>
        <w:t>No activities under these outcomes during this reporting period. The completion of these subsector studies will be replaced by a new approach.</w:t>
      </w:r>
    </w:p>
    <w:p w:rsidR="00E5336F" w:rsidRDefault="00E5336F" w:rsidP="00E5336F">
      <w:pPr>
        <w:rPr>
          <w:rFonts w:eastAsia="Times New Roman" w:cstheme="minorHAnsi"/>
          <w:i/>
          <w:u w:val="single"/>
          <w:lang w:eastAsia="es-ES"/>
        </w:rPr>
      </w:pPr>
      <w:r>
        <w:rPr>
          <w:rFonts w:eastAsia="Times New Roman" w:cstheme="minorHAnsi"/>
          <w:i/>
          <w:u w:val="single"/>
          <w:lang w:eastAsia="es-ES"/>
        </w:rPr>
        <w:t>Outcome 4: Capacity-building for mainstreaming project outcomes into the decision-making process of the Government Committee on Climate Change</w:t>
      </w:r>
    </w:p>
    <w:p w:rsidR="00E5336F" w:rsidRDefault="00E5336F" w:rsidP="00E5336F">
      <w:pPr>
        <w:rPr>
          <w:rFonts w:eastAsia="Times New Roman" w:cs="Arial"/>
          <w:lang w:eastAsia="es-ES"/>
        </w:rPr>
      </w:pPr>
      <w:r>
        <w:rPr>
          <w:rFonts w:eastAsia="Times New Roman" w:cs="Arial"/>
          <w:lang w:eastAsia="es-ES"/>
        </w:rPr>
        <w:t>At the request of the National Climate Change Cabinet, the LECB project was informed about the need to comprehensively review the LECB project objective, in line with the government’s and National Climate Change Directorate’s actual needs. A proposal was prepared to amend the project to meet the needs of the government’s new policies and guide it in reviewing the NDC, as well as developing sector-based mitigation strategies to implement the commitments. Mitigation policies were outlined for the energy, industry, agroindustry, transport and municipal urban waste sectors.</w:t>
      </w:r>
    </w:p>
    <w:p w:rsidR="00E5336F" w:rsidRDefault="00E5336F" w:rsidP="00E5336F">
      <w:pPr>
        <w:rPr>
          <w:rFonts w:eastAsia="Times New Roman" w:cs="Arial"/>
        </w:rPr>
      </w:pPr>
      <w:r>
        <w:rPr>
          <w:rFonts w:eastAsia="Times New Roman" w:cs="Arial"/>
        </w:rPr>
        <w:t>The NDC review was structured into three stages: sector-based working groups with technicians from the participating ministries; technical roundtables with representatives from the different Ministries (Energy, Agroindustry, Waste, Transport and Production-Industry); and roundtables addressing cross-cutting issues (adaptation, funding, awareness-raising and education.</w:t>
      </w:r>
    </w:p>
    <w:p w:rsidR="00E5336F" w:rsidRDefault="00E5336F" w:rsidP="00E5336F">
      <w:pPr>
        <w:rPr>
          <w:rFonts w:eastAsia="Times New Roman" w:cs="Arial"/>
          <w:lang w:eastAsia="es-ES"/>
        </w:rPr>
      </w:pPr>
      <w:r>
        <w:rPr>
          <w:rFonts w:eastAsia="Times New Roman" w:cs="Arial"/>
        </w:rPr>
        <w:t xml:space="preserve">At the sector-based and cross-cutting roundtables, the technical teams of the National Climate Change Cabinet, together with National Climate Change Directorate technicians and three consultants hired by the LECB project, reviewed the NDC-related measures to amend them to the government’s new plans, recalculating the potential for emission reduction, determining co-benefits, </w:t>
      </w:r>
      <w:proofErr w:type="gramStart"/>
      <w:r>
        <w:rPr>
          <w:rFonts w:eastAsia="Times New Roman" w:cs="Arial"/>
        </w:rPr>
        <w:t>and also</w:t>
      </w:r>
      <w:proofErr w:type="gramEnd"/>
      <w:r>
        <w:rPr>
          <w:rFonts w:eastAsia="Times New Roman" w:cs="Arial"/>
        </w:rPr>
        <w:t xml:space="preserve"> identifying new measures to be included. 30 mitigation measures were agreed upon at a </w:t>
      </w:r>
      <w:r>
        <w:rPr>
          <w:rFonts w:eastAsia="Times New Roman" w:cs="Arial"/>
        </w:rPr>
        <w:lastRenderedPageBreak/>
        <w:t>National Working Group made up of the focal points from each Ministry. K</w:t>
      </w:r>
      <w:r>
        <w:rPr>
          <w:rFonts w:eastAsia="Times New Roman" w:cs="Arial"/>
          <w:lang w:eastAsia="es-ES"/>
        </w:rPr>
        <w:t>ey measures identified within the Energy sector:</w:t>
      </w:r>
    </w:p>
    <w:p w:rsidR="00E5336F" w:rsidRDefault="00E5336F" w:rsidP="00E5336F">
      <w:pPr>
        <w:numPr>
          <w:ilvl w:val="0"/>
          <w:numId w:val="4"/>
        </w:numPr>
        <w:spacing w:after="0" w:line="240" w:lineRule="auto"/>
        <w:rPr>
          <w:rFonts w:eastAsia="Calibri" w:cs="Arial"/>
        </w:rPr>
      </w:pPr>
      <w:r>
        <w:rPr>
          <w:rFonts w:eastAsia="Calibri" w:cs="Arial"/>
        </w:rPr>
        <w:t>Cogeneration using fossil fuel</w:t>
      </w:r>
    </w:p>
    <w:p w:rsidR="00E5336F" w:rsidRDefault="00E5336F" w:rsidP="00E5336F">
      <w:pPr>
        <w:numPr>
          <w:ilvl w:val="0"/>
          <w:numId w:val="4"/>
        </w:numPr>
        <w:spacing w:after="0" w:line="240" w:lineRule="auto"/>
        <w:rPr>
          <w:rFonts w:eastAsia="Calibri" w:cs="Arial"/>
        </w:rPr>
      </w:pPr>
      <w:r>
        <w:rPr>
          <w:rFonts w:eastAsia="Calibri" w:cs="Arial"/>
        </w:rPr>
        <w:t>Cogeneration using biomass</w:t>
      </w:r>
    </w:p>
    <w:p w:rsidR="00E5336F" w:rsidRDefault="00E5336F" w:rsidP="00E5336F">
      <w:pPr>
        <w:numPr>
          <w:ilvl w:val="0"/>
          <w:numId w:val="4"/>
        </w:numPr>
        <w:spacing w:after="0" w:line="240" w:lineRule="auto"/>
        <w:rPr>
          <w:rFonts w:eastAsia="Calibri" w:cs="Arial"/>
        </w:rPr>
      </w:pPr>
      <w:r>
        <w:rPr>
          <w:rFonts w:eastAsia="Calibri" w:cs="Arial"/>
        </w:rPr>
        <w:t>Implementation of industrial energy management systems</w:t>
      </w:r>
    </w:p>
    <w:p w:rsidR="00E5336F" w:rsidRDefault="00E5336F" w:rsidP="00E5336F">
      <w:pPr>
        <w:numPr>
          <w:ilvl w:val="0"/>
          <w:numId w:val="4"/>
        </w:numPr>
        <w:spacing w:after="0" w:line="240" w:lineRule="auto"/>
        <w:rPr>
          <w:rFonts w:eastAsia="Calibri" w:cs="Arial"/>
        </w:rPr>
      </w:pPr>
      <w:r>
        <w:rPr>
          <w:rFonts w:eastAsia="Calibri" w:cs="Arial"/>
        </w:rPr>
        <w:t>Energy diagnostic studies in industrial plants</w:t>
      </w:r>
    </w:p>
    <w:p w:rsidR="00E5336F" w:rsidRDefault="00E5336F" w:rsidP="00E5336F">
      <w:pPr>
        <w:numPr>
          <w:ilvl w:val="0"/>
          <w:numId w:val="4"/>
        </w:numPr>
        <w:spacing w:after="0" w:line="240" w:lineRule="auto"/>
        <w:rPr>
          <w:rFonts w:eastAsia="Calibri" w:cs="Arial"/>
        </w:rPr>
      </w:pPr>
      <w:r>
        <w:rPr>
          <w:rFonts w:eastAsia="Calibri" w:cs="Arial"/>
        </w:rPr>
        <w:t>Residential energy efficiency measures</w:t>
      </w:r>
    </w:p>
    <w:p w:rsidR="00E5336F" w:rsidRDefault="00E5336F" w:rsidP="00E5336F">
      <w:pPr>
        <w:numPr>
          <w:ilvl w:val="0"/>
          <w:numId w:val="4"/>
        </w:numPr>
        <w:spacing w:after="0" w:line="240" w:lineRule="auto"/>
        <w:rPr>
          <w:rFonts w:eastAsia="Calibri" w:cs="Arial"/>
        </w:rPr>
      </w:pPr>
      <w:r>
        <w:rPr>
          <w:rFonts w:eastAsia="Calibri" w:cs="Arial"/>
        </w:rPr>
        <w:t>Energy efficiency measures for street lighting.</w:t>
      </w:r>
    </w:p>
    <w:p w:rsidR="00E5336F" w:rsidRDefault="00E5336F" w:rsidP="00E5336F">
      <w:pPr>
        <w:rPr>
          <w:rFonts w:eastAsia="Times New Roman" w:cs="Arial"/>
          <w:lang w:eastAsia="es-ES"/>
        </w:rPr>
      </w:pPr>
    </w:p>
    <w:p w:rsidR="00E5336F" w:rsidRDefault="00E5336F" w:rsidP="00E5336F">
      <w:pPr>
        <w:rPr>
          <w:rFonts w:eastAsia="Times New Roman" w:cs="Arial"/>
          <w:lang w:eastAsia="es-ES"/>
        </w:rPr>
      </w:pPr>
      <w:r>
        <w:rPr>
          <w:rFonts w:eastAsia="Times New Roman" w:cs="Arial"/>
          <w:lang w:eastAsia="es-ES"/>
        </w:rPr>
        <w:t>The national LECB team supported the Ministry of Production to analyze mitigation measures, calculating the mitigation potential and the necessary parameters for its determination, including:</w:t>
      </w:r>
    </w:p>
    <w:p w:rsidR="00E5336F" w:rsidRDefault="00E5336F" w:rsidP="00E5336F">
      <w:pPr>
        <w:numPr>
          <w:ilvl w:val="0"/>
          <w:numId w:val="4"/>
        </w:numPr>
        <w:spacing w:after="0" w:line="240" w:lineRule="auto"/>
        <w:rPr>
          <w:rFonts w:eastAsia="Calibri" w:cs="Arial"/>
        </w:rPr>
      </w:pPr>
      <w:r>
        <w:rPr>
          <w:rFonts w:eastAsia="Calibri" w:cs="Arial"/>
        </w:rPr>
        <w:t>Flare gas recovery</w:t>
      </w:r>
    </w:p>
    <w:p w:rsidR="00E5336F" w:rsidRDefault="00E5336F" w:rsidP="00E5336F">
      <w:pPr>
        <w:numPr>
          <w:ilvl w:val="0"/>
          <w:numId w:val="4"/>
        </w:numPr>
        <w:spacing w:after="0" w:line="240" w:lineRule="auto"/>
        <w:rPr>
          <w:rFonts w:eastAsia="Calibri" w:cs="Arial"/>
        </w:rPr>
      </w:pPr>
      <w:r>
        <w:rPr>
          <w:rFonts w:eastAsia="Calibri" w:cs="Arial"/>
        </w:rPr>
        <w:t>Recycling of scrap from iron and steel industry</w:t>
      </w:r>
    </w:p>
    <w:p w:rsidR="00E5336F" w:rsidRDefault="00E5336F" w:rsidP="00E5336F">
      <w:pPr>
        <w:numPr>
          <w:ilvl w:val="0"/>
          <w:numId w:val="4"/>
        </w:numPr>
        <w:spacing w:after="0" w:line="240" w:lineRule="auto"/>
        <w:rPr>
          <w:rFonts w:eastAsia="Calibri" w:cs="Arial"/>
        </w:rPr>
      </w:pPr>
      <w:r>
        <w:rPr>
          <w:rFonts w:eastAsia="Calibri" w:cs="Arial"/>
        </w:rPr>
        <w:t>More efficient engines</w:t>
      </w:r>
    </w:p>
    <w:p w:rsidR="00E5336F" w:rsidRDefault="00E5336F" w:rsidP="00E5336F">
      <w:pPr>
        <w:numPr>
          <w:ilvl w:val="0"/>
          <w:numId w:val="4"/>
        </w:numPr>
        <w:spacing w:after="0" w:line="240" w:lineRule="auto"/>
        <w:rPr>
          <w:rFonts w:eastAsia="Calibri" w:cs="Arial"/>
        </w:rPr>
      </w:pPr>
      <w:r>
        <w:rPr>
          <w:rFonts w:eastAsia="Calibri" w:cs="Arial"/>
        </w:rPr>
        <w:t>More efficient boilers.</w:t>
      </w:r>
    </w:p>
    <w:p w:rsidR="00E5336F" w:rsidRDefault="00E5336F" w:rsidP="00E5336F">
      <w:pPr>
        <w:rPr>
          <w:rFonts w:eastAsia="Calibri" w:cs="Arial"/>
        </w:rPr>
      </w:pPr>
      <w:bookmarkStart w:id="0" w:name="_GoBack"/>
      <w:bookmarkEnd w:id="0"/>
    </w:p>
    <w:p w:rsidR="00E5336F" w:rsidRDefault="00E5336F" w:rsidP="00E5336F">
      <w:pPr>
        <w:rPr>
          <w:rFonts w:eastAsia="Calibri" w:cs="Arial"/>
        </w:rPr>
      </w:pPr>
      <w:r>
        <w:rPr>
          <w:rFonts w:eastAsia="Times New Roman" w:cs="Arial"/>
          <w:lang w:eastAsia="es-ES"/>
        </w:rPr>
        <w:t xml:space="preserve">Advice was rendered to both Ministries in establishing their reduction goals for the NDC review. Mitigation measures were defined for the revised NDC for the sectors energy, industrial processes and waste. See revised NDC: </w:t>
      </w:r>
      <w:hyperlink r:id="rId7" w:history="1">
        <w:r>
          <w:rPr>
            <w:rStyle w:val="Hyperlink"/>
            <w:rFonts w:eastAsia="Calibri" w:cs="Arial"/>
          </w:rPr>
          <w:t>http://www4.unfccc.int/ndcregistry/PublishedDocuments/Argentina%20First/17112016%20NDC%20Revisada%202016.pdf</w:t>
        </w:r>
      </w:hyperlink>
      <w:r>
        <w:rPr>
          <w:rFonts w:eastAsia="Calibri" w:cs="Arial"/>
        </w:rPr>
        <w:t>.</w:t>
      </w:r>
    </w:p>
    <w:p w:rsidR="00E5336F" w:rsidRDefault="00E5336F" w:rsidP="00E5336F">
      <w:pPr>
        <w:rPr>
          <w:rFonts w:eastAsia="Times New Roman" w:cs="Arial"/>
        </w:rPr>
      </w:pPr>
      <w:r>
        <w:rPr>
          <w:rFonts w:eastAsia="Times New Roman" w:cs="Arial"/>
          <w:lang w:eastAsia="es-ES"/>
        </w:rPr>
        <w:t xml:space="preserve">The national LECB team analyzed the correlation between the inventory’s main sectors and sub-sectors in terms of GHG emissions and growth data to determine whether the values used were consistent with historical data. </w:t>
      </w:r>
      <w:r>
        <w:rPr>
          <w:rFonts w:eastAsia="Calibri" w:cs="Arial"/>
        </w:rPr>
        <w:t xml:space="preserve">A spreadsheet was prepared to group the different proposals made by the provinces </w:t>
      </w:r>
      <w:proofErr w:type="gramStart"/>
      <w:r>
        <w:rPr>
          <w:rFonts w:eastAsia="Calibri" w:cs="Arial"/>
        </w:rPr>
        <w:t>with regard to</w:t>
      </w:r>
      <w:proofErr w:type="gramEnd"/>
      <w:r>
        <w:rPr>
          <w:rFonts w:eastAsia="Calibri" w:cs="Arial"/>
        </w:rPr>
        <w:t xml:space="preserve"> mitigation measures to include them in the sectoral plans. </w:t>
      </w:r>
      <w:r>
        <w:rPr>
          <w:rFonts w:eastAsia="Times New Roman" w:cs="Arial"/>
        </w:rPr>
        <w:t>The work plan was validated by a roundtable with representatives from civil society: NGOs, universities, business chambers, scientific, technological and work sectors.</w:t>
      </w:r>
    </w:p>
    <w:p w:rsidR="00E5336F" w:rsidRDefault="00E5336F" w:rsidP="00E5336F">
      <w:pPr>
        <w:rPr>
          <w:rFonts w:eastAsia="Times New Roman" w:cs="Arial"/>
          <w:lang w:eastAsia="es-ES"/>
        </w:rPr>
      </w:pPr>
      <w:r>
        <w:rPr>
          <w:rFonts w:eastAsia="Times New Roman" w:cs="Arial"/>
          <w:bCs/>
          <w:color w:val="000000"/>
          <w:kern w:val="24"/>
          <w:lang w:eastAsia="es-AR"/>
        </w:rPr>
        <w:t xml:space="preserve">The LECB Project Document was amended in September to meet the new National Climate Change Directorate guidelines, focusing on support to the National Directorate’s team in reworking the NDC. </w:t>
      </w:r>
      <w:r>
        <w:rPr>
          <w:rFonts w:eastAsia="Times New Roman" w:cs="Arial"/>
          <w:lang w:eastAsia="es-ES"/>
        </w:rPr>
        <w:t>The national LECB team amended the LECB Project Document and discussed with National Climate Change Directorate the objectives:</w:t>
      </w:r>
    </w:p>
    <w:p w:rsidR="00E5336F" w:rsidRDefault="00E5336F" w:rsidP="00E5336F">
      <w:pPr>
        <w:pStyle w:val="ListParagraph"/>
        <w:numPr>
          <w:ilvl w:val="0"/>
          <w:numId w:val="5"/>
        </w:numPr>
        <w:rPr>
          <w:rFonts w:eastAsia="Times New Roman" w:cs="Arial"/>
        </w:rPr>
      </w:pPr>
      <w:r>
        <w:rPr>
          <w:rFonts w:eastAsia="Times New Roman" w:cs="Arial"/>
        </w:rPr>
        <w:t>Strengthen int</w:t>
      </w:r>
      <w:r>
        <w:rPr>
          <w:rFonts w:eastAsia="Times New Roman" w:cs="Arial"/>
          <w:lang w:eastAsia="es-ES"/>
        </w:rPr>
        <w:t>er-sectorial and inter-jurisdictional coordination within the framework of the National Climate Change Cabinet</w:t>
      </w:r>
    </w:p>
    <w:p w:rsidR="00E5336F" w:rsidRDefault="00E5336F" w:rsidP="00E5336F">
      <w:pPr>
        <w:pStyle w:val="ListParagraph"/>
        <w:numPr>
          <w:ilvl w:val="0"/>
          <w:numId w:val="5"/>
        </w:numPr>
        <w:rPr>
          <w:rFonts w:eastAsia="Times New Roman" w:cs="Arial"/>
        </w:rPr>
      </w:pPr>
      <w:r>
        <w:rPr>
          <w:rFonts w:eastAsia="Times New Roman" w:cs="Arial"/>
          <w:lang w:eastAsia="es-ES"/>
        </w:rPr>
        <w:t xml:space="preserve">Design sector-based climate change plans, </w:t>
      </w:r>
      <w:proofErr w:type="gramStart"/>
      <w:r>
        <w:rPr>
          <w:rFonts w:eastAsia="Times New Roman" w:cs="Arial"/>
          <w:lang w:eastAsia="es-ES"/>
        </w:rPr>
        <w:t>taking into account</w:t>
      </w:r>
      <w:proofErr w:type="gramEnd"/>
      <w:r>
        <w:rPr>
          <w:rFonts w:eastAsia="Times New Roman" w:cs="Arial"/>
          <w:lang w:eastAsia="es-ES"/>
        </w:rPr>
        <w:t xml:space="preserve"> the measures identified within the National Climate Change Cabinet</w:t>
      </w:r>
    </w:p>
    <w:p w:rsidR="00E5336F" w:rsidRDefault="00E5336F" w:rsidP="00E5336F">
      <w:pPr>
        <w:pStyle w:val="ListParagraph"/>
        <w:numPr>
          <w:ilvl w:val="0"/>
          <w:numId w:val="5"/>
        </w:numPr>
        <w:rPr>
          <w:rFonts w:eastAsia="Times New Roman" w:cs="Arial"/>
        </w:rPr>
      </w:pPr>
      <w:r>
        <w:rPr>
          <w:rFonts w:eastAsia="Times New Roman" w:cs="Arial"/>
          <w:lang w:eastAsia="es-ES"/>
        </w:rPr>
        <w:t>Design a national system for updating inventories and monitoring mitigation measures.</w:t>
      </w:r>
    </w:p>
    <w:p w:rsidR="00E5336F" w:rsidRDefault="00E5336F" w:rsidP="008A41AB">
      <w:pPr>
        <w:jc w:val="both"/>
      </w:pPr>
    </w:p>
    <w:p w:rsidR="008A41AB" w:rsidRDefault="008A41AB" w:rsidP="008A41AB">
      <w:pPr>
        <w:rPr>
          <w:rFonts w:eastAsia="Times New Roman" w:cstheme="minorHAnsi"/>
          <w:lang w:eastAsia="es-ES"/>
        </w:rPr>
      </w:pPr>
    </w:p>
    <w:p w:rsidR="003C54CC" w:rsidRDefault="003C54CC"/>
    <w:sectPr w:rsidR="003C54CC">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8FD" w:rsidRDefault="001C18FD" w:rsidP="00E5336F">
      <w:pPr>
        <w:spacing w:after="0" w:line="240" w:lineRule="auto"/>
      </w:pPr>
      <w:r>
        <w:separator/>
      </w:r>
    </w:p>
  </w:endnote>
  <w:endnote w:type="continuationSeparator" w:id="0">
    <w:p w:rsidR="001C18FD" w:rsidRDefault="001C18FD" w:rsidP="00E53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8FD" w:rsidRDefault="001C18FD" w:rsidP="00E5336F">
      <w:pPr>
        <w:spacing w:after="0" w:line="240" w:lineRule="auto"/>
      </w:pPr>
      <w:r>
        <w:separator/>
      </w:r>
    </w:p>
  </w:footnote>
  <w:footnote w:type="continuationSeparator" w:id="0">
    <w:p w:rsidR="001C18FD" w:rsidRDefault="001C18FD" w:rsidP="00E5336F">
      <w:pPr>
        <w:spacing w:after="0" w:line="240" w:lineRule="auto"/>
      </w:pPr>
      <w:r>
        <w:continuationSeparator/>
      </w:r>
    </w:p>
  </w:footnote>
  <w:footnote w:id="1">
    <w:p w:rsidR="00E5336F" w:rsidRPr="00E5336F" w:rsidRDefault="00E5336F" w:rsidP="00E5336F">
      <w:pPr>
        <w:pStyle w:val="FootnoteText"/>
        <w:rPr>
          <w:rFonts w:cstheme="minorBidi"/>
          <w:lang w:val="en-US"/>
        </w:rPr>
      </w:pPr>
      <w:r>
        <w:rPr>
          <w:rStyle w:val="FootnoteReference"/>
        </w:rPr>
        <w:footnoteRef/>
      </w:r>
      <w:r w:rsidRPr="00E5336F">
        <w:rPr>
          <w:lang w:val="en-US"/>
        </w:rPr>
        <w:t xml:space="preserve"> </w:t>
      </w:r>
      <w:r w:rsidRPr="00E5336F">
        <w:rPr>
          <w:sz w:val="18"/>
          <w:szCs w:val="18"/>
          <w:lang w:val="en-US"/>
        </w:rPr>
        <w:t>The project would replace NAMAS by sectoral mitigation programs to support the NDC.</w:t>
      </w:r>
    </w:p>
  </w:footnote>
  <w:footnote w:id="2">
    <w:p w:rsidR="00E5336F" w:rsidRPr="00E5336F" w:rsidRDefault="00E5336F" w:rsidP="00E5336F">
      <w:pPr>
        <w:pStyle w:val="FootnoteText"/>
        <w:rPr>
          <w:lang w:val="en-US"/>
        </w:rPr>
      </w:pPr>
      <w:r>
        <w:rPr>
          <w:rStyle w:val="FootnoteReference"/>
        </w:rPr>
        <w:footnoteRef/>
      </w:r>
      <w:r w:rsidRPr="00E5336F">
        <w:rPr>
          <w:lang w:val="en-US"/>
        </w:rPr>
        <w:t xml:space="preserve"> </w:t>
      </w:r>
      <w:r w:rsidRPr="00E5336F">
        <w:rPr>
          <w:sz w:val="18"/>
          <w:szCs w:val="18"/>
          <w:lang w:val="en-US"/>
        </w:rPr>
        <w:t>Studies to more industrial sectors, transport, energy, agribusiness and MSW would be expanded.</w:t>
      </w:r>
    </w:p>
  </w:footnote>
  <w:footnote w:id="3">
    <w:p w:rsidR="00E5336F" w:rsidRPr="00E5336F" w:rsidRDefault="00E5336F" w:rsidP="00E5336F">
      <w:pPr>
        <w:pStyle w:val="FootnoteText"/>
        <w:rPr>
          <w:rFonts w:eastAsia="Calibri"/>
          <w:lang w:val="en-US"/>
        </w:rPr>
      </w:pPr>
      <w:r>
        <w:rPr>
          <w:rStyle w:val="FootnoteReference"/>
        </w:rPr>
        <w:footnoteRef/>
      </w:r>
      <w:r w:rsidRPr="00E5336F">
        <w:rPr>
          <w:lang w:val="en-US"/>
        </w:rPr>
        <w:t xml:space="preserve"> </w:t>
      </w:r>
      <w:r w:rsidRPr="00E5336F">
        <w:rPr>
          <w:sz w:val="18"/>
          <w:szCs w:val="18"/>
          <w:lang w:val="en-US"/>
        </w:rPr>
        <w:t>The project would replace NAMAS by sectoral mitigation programs to support the NDC.</w:t>
      </w:r>
    </w:p>
  </w:footnote>
  <w:footnote w:id="4">
    <w:p w:rsidR="00E5336F" w:rsidRPr="00E5336F" w:rsidRDefault="00E5336F" w:rsidP="00E5336F">
      <w:pPr>
        <w:pStyle w:val="FootnoteText"/>
        <w:rPr>
          <w:lang w:val="en-US"/>
        </w:rPr>
      </w:pPr>
      <w:r>
        <w:rPr>
          <w:rStyle w:val="FootnoteReference"/>
        </w:rPr>
        <w:footnoteRef/>
      </w:r>
      <w:r w:rsidRPr="00E5336F">
        <w:rPr>
          <w:lang w:val="en-US"/>
        </w:rPr>
        <w:t xml:space="preserve"> </w:t>
      </w:r>
      <w:r w:rsidRPr="00E5336F">
        <w:rPr>
          <w:sz w:val="18"/>
          <w:szCs w:val="18"/>
          <w:lang w:val="en-US"/>
        </w:rPr>
        <w:t>Studies to more industrial sectors, transport, energy, agribusiness and MSW would be expanded.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259FD"/>
    <w:multiLevelType w:val="hybridMultilevel"/>
    <w:tmpl w:val="1856231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E964300"/>
    <w:multiLevelType w:val="hybridMultilevel"/>
    <w:tmpl w:val="1BCE0B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FD43BEF"/>
    <w:multiLevelType w:val="hybridMultilevel"/>
    <w:tmpl w:val="DB82AF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CC6586F"/>
    <w:multiLevelType w:val="hybridMultilevel"/>
    <w:tmpl w:val="CDD024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7A321D5C"/>
    <w:multiLevelType w:val="hybridMultilevel"/>
    <w:tmpl w:val="3662CC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1AB"/>
    <w:rsid w:val="00000FD3"/>
    <w:rsid w:val="00001065"/>
    <w:rsid w:val="000031FC"/>
    <w:rsid w:val="000051D4"/>
    <w:rsid w:val="00005220"/>
    <w:rsid w:val="00006F0D"/>
    <w:rsid w:val="000101F3"/>
    <w:rsid w:val="00013C07"/>
    <w:rsid w:val="00014129"/>
    <w:rsid w:val="0001463D"/>
    <w:rsid w:val="0001569C"/>
    <w:rsid w:val="00015DAB"/>
    <w:rsid w:val="00016A75"/>
    <w:rsid w:val="00020121"/>
    <w:rsid w:val="00020DC7"/>
    <w:rsid w:val="00021342"/>
    <w:rsid w:val="00023381"/>
    <w:rsid w:val="0002490F"/>
    <w:rsid w:val="00026222"/>
    <w:rsid w:val="000269E9"/>
    <w:rsid w:val="000273A5"/>
    <w:rsid w:val="0002740E"/>
    <w:rsid w:val="00027548"/>
    <w:rsid w:val="000276F6"/>
    <w:rsid w:val="00030F91"/>
    <w:rsid w:val="00031646"/>
    <w:rsid w:val="000351DC"/>
    <w:rsid w:val="00037626"/>
    <w:rsid w:val="0004513F"/>
    <w:rsid w:val="00046AED"/>
    <w:rsid w:val="00046C92"/>
    <w:rsid w:val="0004786D"/>
    <w:rsid w:val="00047BEE"/>
    <w:rsid w:val="00050545"/>
    <w:rsid w:val="00051534"/>
    <w:rsid w:val="00061583"/>
    <w:rsid w:val="000616B7"/>
    <w:rsid w:val="00062A17"/>
    <w:rsid w:val="00062BC5"/>
    <w:rsid w:val="00064056"/>
    <w:rsid w:val="0006660B"/>
    <w:rsid w:val="00066CA8"/>
    <w:rsid w:val="00067F74"/>
    <w:rsid w:val="00070555"/>
    <w:rsid w:val="00070A4F"/>
    <w:rsid w:val="0007385A"/>
    <w:rsid w:val="00074A0B"/>
    <w:rsid w:val="0007659E"/>
    <w:rsid w:val="00076AB7"/>
    <w:rsid w:val="000770C2"/>
    <w:rsid w:val="0007766D"/>
    <w:rsid w:val="0008155F"/>
    <w:rsid w:val="0008201F"/>
    <w:rsid w:val="0008205A"/>
    <w:rsid w:val="000823C4"/>
    <w:rsid w:val="000830BA"/>
    <w:rsid w:val="000845F3"/>
    <w:rsid w:val="00085317"/>
    <w:rsid w:val="00086BBB"/>
    <w:rsid w:val="00090ED7"/>
    <w:rsid w:val="00091932"/>
    <w:rsid w:val="00091EE2"/>
    <w:rsid w:val="00092861"/>
    <w:rsid w:val="00092B1E"/>
    <w:rsid w:val="00093268"/>
    <w:rsid w:val="00093460"/>
    <w:rsid w:val="00094DCA"/>
    <w:rsid w:val="00095F52"/>
    <w:rsid w:val="000967CF"/>
    <w:rsid w:val="00096A3D"/>
    <w:rsid w:val="00096E1E"/>
    <w:rsid w:val="00097766"/>
    <w:rsid w:val="000A05C0"/>
    <w:rsid w:val="000A2379"/>
    <w:rsid w:val="000A3506"/>
    <w:rsid w:val="000A3B71"/>
    <w:rsid w:val="000A6445"/>
    <w:rsid w:val="000B05DC"/>
    <w:rsid w:val="000B226C"/>
    <w:rsid w:val="000B3C67"/>
    <w:rsid w:val="000B6B62"/>
    <w:rsid w:val="000B73B1"/>
    <w:rsid w:val="000C06DB"/>
    <w:rsid w:val="000C129A"/>
    <w:rsid w:val="000C2345"/>
    <w:rsid w:val="000C2D27"/>
    <w:rsid w:val="000C4C58"/>
    <w:rsid w:val="000C5017"/>
    <w:rsid w:val="000C5F87"/>
    <w:rsid w:val="000C7A62"/>
    <w:rsid w:val="000D11F4"/>
    <w:rsid w:val="000D1AB3"/>
    <w:rsid w:val="000D3A0F"/>
    <w:rsid w:val="000D4172"/>
    <w:rsid w:val="000D4CE4"/>
    <w:rsid w:val="000D71BD"/>
    <w:rsid w:val="000E102B"/>
    <w:rsid w:val="000E1BC9"/>
    <w:rsid w:val="000E6313"/>
    <w:rsid w:val="000E7BDC"/>
    <w:rsid w:val="000F062D"/>
    <w:rsid w:val="000F1A55"/>
    <w:rsid w:val="000F2C01"/>
    <w:rsid w:val="000F3A44"/>
    <w:rsid w:val="000F572A"/>
    <w:rsid w:val="000F7D16"/>
    <w:rsid w:val="0010027A"/>
    <w:rsid w:val="00102E4B"/>
    <w:rsid w:val="00103A71"/>
    <w:rsid w:val="001053AF"/>
    <w:rsid w:val="00107240"/>
    <w:rsid w:val="00107855"/>
    <w:rsid w:val="00110EB7"/>
    <w:rsid w:val="0011224B"/>
    <w:rsid w:val="001132B0"/>
    <w:rsid w:val="00113FBC"/>
    <w:rsid w:val="001154B2"/>
    <w:rsid w:val="001163AA"/>
    <w:rsid w:val="00116A34"/>
    <w:rsid w:val="00116C3A"/>
    <w:rsid w:val="00117207"/>
    <w:rsid w:val="0012179F"/>
    <w:rsid w:val="00121FFA"/>
    <w:rsid w:val="0012269A"/>
    <w:rsid w:val="00122997"/>
    <w:rsid w:val="00122C0B"/>
    <w:rsid w:val="00122F3E"/>
    <w:rsid w:val="00123166"/>
    <w:rsid w:val="00123ADE"/>
    <w:rsid w:val="00126AC9"/>
    <w:rsid w:val="0013064E"/>
    <w:rsid w:val="001307D1"/>
    <w:rsid w:val="00131CCD"/>
    <w:rsid w:val="00133348"/>
    <w:rsid w:val="0013386E"/>
    <w:rsid w:val="0013432B"/>
    <w:rsid w:val="00134D35"/>
    <w:rsid w:val="00136CE0"/>
    <w:rsid w:val="00136D92"/>
    <w:rsid w:val="001420EA"/>
    <w:rsid w:val="00142ABB"/>
    <w:rsid w:val="00142BAB"/>
    <w:rsid w:val="001444E2"/>
    <w:rsid w:val="001473DC"/>
    <w:rsid w:val="001508EC"/>
    <w:rsid w:val="00150C06"/>
    <w:rsid w:val="001516F8"/>
    <w:rsid w:val="00152D5C"/>
    <w:rsid w:val="0015534B"/>
    <w:rsid w:val="00157AEB"/>
    <w:rsid w:val="00161DFB"/>
    <w:rsid w:val="00161FED"/>
    <w:rsid w:val="00162B94"/>
    <w:rsid w:val="00163CDF"/>
    <w:rsid w:val="0016406F"/>
    <w:rsid w:val="001649CE"/>
    <w:rsid w:val="001662F8"/>
    <w:rsid w:val="001671DA"/>
    <w:rsid w:val="00172096"/>
    <w:rsid w:val="0017320E"/>
    <w:rsid w:val="00173B98"/>
    <w:rsid w:val="00173D3F"/>
    <w:rsid w:val="00176167"/>
    <w:rsid w:val="0017631F"/>
    <w:rsid w:val="001764ED"/>
    <w:rsid w:val="00176EB4"/>
    <w:rsid w:val="001815AE"/>
    <w:rsid w:val="00182F64"/>
    <w:rsid w:val="001860FF"/>
    <w:rsid w:val="0018635E"/>
    <w:rsid w:val="00187812"/>
    <w:rsid w:val="00190A8B"/>
    <w:rsid w:val="00191488"/>
    <w:rsid w:val="00192514"/>
    <w:rsid w:val="00192A82"/>
    <w:rsid w:val="00193B4C"/>
    <w:rsid w:val="00196845"/>
    <w:rsid w:val="0019787C"/>
    <w:rsid w:val="00197F5B"/>
    <w:rsid w:val="001A0CF7"/>
    <w:rsid w:val="001A0E98"/>
    <w:rsid w:val="001A2D57"/>
    <w:rsid w:val="001A3CD2"/>
    <w:rsid w:val="001A40E7"/>
    <w:rsid w:val="001A42B4"/>
    <w:rsid w:val="001A42EC"/>
    <w:rsid w:val="001A43BA"/>
    <w:rsid w:val="001A750C"/>
    <w:rsid w:val="001B033B"/>
    <w:rsid w:val="001B0355"/>
    <w:rsid w:val="001B03FD"/>
    <w:rsid w:val="001B258A"/>
    <w:rsid w:val="001B3E87"/>
    <w:rsid w:val="001B48F2"/>
    <w:rsid w:val="001B5BF0"/>
    <w:rsid w:val="001B613D"/>
    <w:rsid w:val="001B6EA7"/>
    <w:rsid w:val="001C18FD"/>
    <w:rsid w:val="001C3013"/>
    <w:rsid w:val="001C31CB"/>
    <w:rsid w:val="001C3CD8"/>
    <w:rsid w:val="001C44B4"/>
    <w:rsid w:val="001C6704"/>
    <w:rsid w:val="001C6DFD"/>
    <w:rsid w:val="001C7EAF"/>
    <w:rsid w:val="001D073F"/>
    <w:rsid w:val="001D1502"/>
    <w:rsid w:val="001D1CB1"/>
    <w:rsid w:val="001D202F"/>
    <w:rsid w:val="001D2631"/>
    <w:rsid w:val="001D41C7"/>
    <w:rsid w:val="001D4477"/>
    <w:rsid w:val="001D58BA"/>
    <w:rsid w:val="001E0AEA"/>
    <w:rsid w:val="001E1044"/>
    <w:rsid w:val="001E1C4C"/>
    <w:rsid w:val="001E2F0A"/>
    <w:rsid w:val="001E4D13"/>
    <w:rsid w:val="001E5013"/>
    <w:rsid w:val="001F2795"/>
    <w:rsid w:val="001F3A7B"/>
    <w:rsid w:val="001F4700"/>
    <w:rsid w:val="001F6ED0"/>
    <w:rsid w:val="00200BA8"/>
    <w:rsid w:val="0020210E"/>
    <w:rsid w:val="00203840"/>
    <w:rsid w:val="00204AB6"/>
    <w:rsid w:val="00204E41"/>
    <w:rsid w:val="002056E3"/>
    <w:rsid w:val="002101D6"/>
    <w:rsid w:val="00211C57"/>
    <w:rsid w:val="0021538F"/>
    <w:rsid w:val="00217828"/>
    <w:rsid w:val="00220D9B"/>
    <w:rsid w:val="00221950"/>
    <w:rsid w:val="00221C0F"/>
    <w:rsid w:val="002227BE"/>
    <w:rsid w:val="00222B74"/>
    <w:rsid w:val="00226846"/>
    <w:rsid w:val="00226BF2"/>
    <w:rsid w:val="00227712"/>
    <w:rsid w:val="00231974"/>
    <w:rsid w:val="00233117"/>
    <w:rsid w:val="002342FE"/>
    <w:rsid w:val="00234AE4"/>
    <w:rsid w:val="002409E1"/>
    <w:rsid w:val="00241CF3"/>
    <w:rsid w:val="00242B14"/>
    <w:rsid w:val="002432E9"/>
    <w:rsid w:val="00247208"/>
    <w:rsid w:val="00250226"/>
    <w:rsid w:val="002504A4"/>
    <w:rsid w:val="002509C9"/>
    <w:rsid w:val="00251C72"/>
    <w:rsid w:val="0025309C"/>
    <w:rsid w:val="002543DB"/>
    <w:rsid w:val="002574A0"/>
    <w:rsid w:val="002620A6"/>
    <w:rsid w:val="00264DFB"/>
    <w:rsid w:val="002650C3"/>
    <w:rsid w:val="00266093"/>
    <w:rsid w:val="00266175"/>
    <w:rsid w:val="00267657"/>
    <w:rsid w:val="00272352"/>
    <w:rsid w:val="0027328E"/>
    <w:rsid w:val="00280CC7"/>
    <w:rsid w:val="0028177F"/>
    <w:rsid w:val="00282A26"/>
    <w:rsid w:val="002832CE"/>
    <w:rsid w:val="002843CE"/>
    <w:rsid w:val="002850C4"/>
    <w:rsid w:val="002859E6"/>
    <w:rsid w:val="0028787D"/>
    <w:rsid w:val="00287A0A"/>
    <w:rsid w:val="0029022A"/>
    <w:rsid w:val="00292B91"/>
    <w:rsid w:val="00293398"/>
    <w:rsid w:val="00293EBE"/>
    <w:rsid w:val="00294421"/>
    <w:rsid w:val="00294CC1"/>
    <w:rsid w:val="002A14C7"/>
    <w:rsid w:val="002A19C5"/>
    <w:rsid w:val="002A2396"/>
    <w:rsid w:val="002A2766"/>
    <w:rsid w:val="002A50A7"/>
    <w:rsid w:val="002A591D"/>
    <w:rsid w:val="002A7794"/>
    <w:rsid w:val="002A7B96"/>
    <w:rsid w:val="002A7EC6"/>
    <w:rsid w:val="002B128E"/>
    <w:rsid w:val="002B17CC"/>
    <w:rsid w:val="002B24DC"/>
    <w:rsid w:val="002B5811"/>
    <w:rsid w:val="002B5F95"/>
    <w:rsid w:val="002B6B62"/>
    <w:rsid w:val="002B706B"/>
    <w:rsid w:val="002C04F2"/>
    <w:rsid w:val="002C074D"/>
    <w:rsid w:val="002C2027"/>
    <w:rsid w:val="002C3E21"/>
    <w:rsid w:val="002C4E6B"/>
    <w:rsid w:val="002C56C0"/>
    <w:rsid w:val="002C77FB"/>
    <w:rsid w:val="002D27EC"/>
    <w:rsid w:val="002D4CF3"/>
    <w:rsid w:val="002D646D"/>
    <w:rsid w:val="002D6641"/>
    <w:rsid w:val="002D6ABF"/>
    <w:rsid w:val="002D73BC"/>
    <w:rsid w:val="002E1879"/>
    <w:rsid w:val="002E2830"/>
    <w:rsid w:val="002E46D4"/>
    <w:rsid w:val="002E4CB7"/>
    <w:rsid w:val="002E58A0"/>
    <w:rsid w:val="002E5AF0"/>
    <w:rsid w:val="002E6CD1"/>
    <w:rsid w:val="002E7771"/>
    <w:rsid w:val="002F0576"/>
    <w:rsid w:val="002F0843"/>
    <w:rsid w:val="002F260F"/>
    <w:rsid w:val="002F697D"/>
    <w:rsid w:val="002F6C1D"/>
    <w:rsid w:val="003005F3"/>
    <w:rsid w:val="00303E80"/>
    <w:rsid w:val="00306208"/>
    <w:rsid w:val="00306644"/>
    <w:rsid w:val="00307773"/>
    <w:rsid w:val="00310C94"/>
    <w:rsid w:val="00311BF8"/>
    <w:rsid w:val="00315670"/>
    <w:rsid w:val="0031634E"/>
    <w:rsid w:val="003165DD"/>
    <w:rsid w:val="0032095A"/>
    <w:rsid w:val="00320E1C"/>
    <w:rsid w:val="003210C2"/>
    <w:rsid w:val="0032128B"/>
    <w:rsid w:val="00322D2D"/>
    <w:rsid w:val="0033004A"/>
    <w:rsid w:val="00330F60"/>
    <w:rsid w:val="00332252"/>
    <w:rsid w:val="003345CA"/>
    <w:rsid w:val="003360C5"/>
    <w:rsid w:val="00341802"/>
    <w:rsid w:val="00342817"/>
    <w:rsid w:val="003430E0"/>
    <w:rsid w:val="003445F2"/>
    <w:rsid w:val="00344AE4"/>
    <w:rsid w:val="00346955"/>
    <w:rsid w:val="003528D3"/>
    <w:rsid w:val="003539A6"/>
    <w:rsid w:val="003556BA"/>
    <w:rsid w:val="003559FA"/>
    <w:rsid w:val="00357A74"/>
    <w:rsid w:val="0036088F"/>
    <w:rsid w:val="0036096E"/>
    <w:rsid w:val="003617A1"/>
    <w:rsid w:val="00363F7F"/>
    <w:rsid w:val="003661A8"/>
    <w:rsid w:val="00367BB4"/>
    <w:rsid w:val="0037073D"/>
    <w:rsid w:val="00370FE9"/>
    <w:rsid w:val="003717F4"/>
    <w:rsid w:val="003737A1"/>
    <w:rsid w:val="003751B9"/>
    <w:rsid w:val="00375359"/>
    <w:rsid w:val="00375364"/>
    <w:rsid w:val="00376DF0"/>
    <w:rsid w:val="00380EE2"/>
    <w:rsid w:val="003834DF"/>
    <w:rsid w:val="0038358E"/>
    <w:rsid w:val="00385072"/>
    <w:rsid w:val="003873E3"/>
    <w:rsid w:val="00390C52"/>
    <w:rsid w:val="00391F19"/>
    <w:rsid w:val="00395F0F"/>
    <w:rsid w:val="003A2093"/>
    <w:rsid w:val="003A2463"/>
    <w:rsid w:val="003A247B"/>
    <w:rsid w:val="003A538C"/>
    <w:rsid w:val="003A5FFF"/>
    <w:rsid w:val="003A76F0"/>
    <w:rsid w:val="003A76F1"/>
    <w:rsid w:val="003A77A2"/>
    <w:rsid w:val="003B0783"/>
    <w:rsid w:val="003C0DF7"/>
    <w:rsid w:val="003C434F"/>
    <w:rsid w:val="003C54CC"/>
    <w:rsid w:val="003C616D"/>
    <w:rsid w:val="003C66C6"/>
    <w:rsid w:val="003C6F97"/>
    <w:rsid w:val="003C728B"/>
    <w:rsid w:val="003D1C96"/>
    <w:rsid w:val="003D2E00"/>
    <w:rsid w:val="003D2EF5"/>
    <w:rsid w:val="003D3239"/>
    <w:rsid w:val="003D65AC"/>
    <w:rsid w:val="003E0641"/>
    <w:rsid w:val="003E2F2B"/>
    <w:rsid w:val="003E5E08"/>
    <w:rsid w:val="003E5FDC"/>
    <w:rsid w:val="003F25B2"/>
    <w:rsid w:val="003F26F7"/>
    <w:rsid w:val="003F36F2"/>
    <w:rsid w:val="003F43A1"/>
    <w:rsid w:val="003F60FC"/>
    <w:rsid w:val="003F714B"/>
    <w:rsid w:val="00400654"/>
    <w:rsid w:val="004022AD"/>
    <w:rsid w:val="004060BA"/>
    <w:rsid w:val="00406E57"/>
    <w:rsid w:val="004108CC"/>
    <w:rsid w:val="004115C7"/>
    <w:rsid w:val="00412FD5"/>
    <w:rsid w:val="00413975"/>
    <w:rsid w:val="00413A31"/>
    <w:rsid w:val="0041452F"/>
    <w:rsid w:val="004152FC"/>
    <w:rsid w:val="004157A4"/>
    <w:rsid w:val="00416CE2"/>
    <w:rsid w:val="0041703D"/>
    <w:rsid w:val="004178D3"/>
    <w:rsid w:val="00417917"/>
    <w:rsid w:val="00427932"/>
    <w:rsid w:val="00431414"/>
    <w:rsid w:val="004338E8"/>
    <w:rsid w:val="0043458B"/>
    <w:rsid w:val="00436A4F"/>
    <w:rsid w:val="004379FF"/>
    <w:rsid w:val="00440110"/>
    <w:rsid w:val="0044048D"/>
    <w:rsid w:val="00443817"/>
    <w:rsid w:val="00452E3B"/>
    <w:rsid w:val="0045544E"/>
    <w:rsid w:val="0045735F"/>
    <w:rsid w:val="0045771A"/>
    <w:rsid w:val="004612A6"/>
    <w:rsid w:val="004618ED"/>
    <w:rsid w:val="00462A87"/>
    <w:rsid w:val="0046429C"/>
    <w:rsid w:val="004711AB"/>
    <w:rsid w:val="00476C32"/>
    <w:rsid w:val="00477E67"/>
    <w:rsid w:val="00483CB1"/>
    <w:rsid w:val="004864B2"/>
    <w:rsid w:val="004907FD"/>
    <w:rsid w:val="0049494C"/>
    <w:rsid w:val="00496382"/>
    <w:rsid w:val="0049652D"/>
    <w:rsid w:val="00496E8F"/>
    <w:rsid w:val="004A0670"/>
    <w:rsid w:val="004A1250"/>
    <w:rsid w:val="004A1283"/>
    <w:rsid w:val="004A38C1"/>
    <w:rsid w:val="004A7474"/>
    <w:rsid w:val="004A7688"/>
    <w:rsid w:val="004B255E"/>
    <w:rsid w:val="004B3067"/>
    <w:rsid w:val="004B3D01"/>
    <w:rsid w:val="004B4139"/>
    <w:rsid w:val="004B49EE"/>
    <w:rsid w:val="004B58CD"/>
    <w:rsid w:val="004B60E4"/>
    <w:rsid w:val="004C2B09"/>
    <w:rsid w:val="004C54E1"/>
    <w:rsid w:val="004C5A77"/>
    <w:rsid w:val="004D03C0"/>
    <w:rsid w:val="004D1B94"/>
    <w:rsid w:val="004D2015"/>
    <w:rsid w:val="004D6DA5"/>
    <w:rsid w:val="004D7B08"/>
    <w:rsid w:val="004D7E5C"/>
    <w:rsid w:val="004E3E1B"/>
    <w:rsid w:val="004E5048"/>
    <w:rsid w:val="004E5B19"/>
    <w:rsid w:val="004E6DB0"/>
    <w:rsid w:val="004F042C"/>
    <w:rsid w:val="004F2F1C"/>
    <w:rsid w:val="004F3C98"/>
    <w:rsid w:val="00501EB1"/>
    <w:rsid w:val="005062FD"/>
    <w:rsid w:val="00507D84"/>
    <w:rsid w:val="00510DD4"/>
    <w:rsid w:val="00512AB5"/>
    <w:rsid w:val="00513149"/>
    <w:rsid w:val="005157BC"/>
    <w:rsid w:val="005158EE"/>
    <w:rsid w:val="0052016A"/>
    <w:rsid w:val="005245AD"/>
    <w:rsid w:val="005248EC"/>
    <w:rsid w:val="0052563A"/>
    <w:rsid w:val="005305FE"/>
    <w:rsid w:val="00532612"/>
    <w:rsid w:val="00533AA4"/>
    <w:rsid w:val="005357E3"/>
    <w:rsid w:val="00535F22"/>
    <w:rsid w:val="005364D6"/>
    <w:rsid w:val="00536884"/>
    <w:rsid w:val="00536C92"/>
    <w:rsid w:val="005405B1"/>
    <w:rsid w:val="005407DD"/>
    <w:rsid w:val="00541741"/>
    <w:rsid w:val="0054348A"/>
    <w:rsid w:val="00543E57"/>
    <w:rsid w:val="005505AA"/>
    <w:rsid w:val="00550D90"/>
    <w:rsid w:val="0055123E"/>
    <w:rsid w:val="005538F6"/>
    <w:rsid w:val="005541E9"/>
    <w:rsid w:val="005547B9"/>
    <w:rsid w:val="00555B82"/>
    <w:rsid w:val="00555D11"/>
    <w:rsid w:val="00555FFA"/>
    <w:rsid w:val="005561DF"/>
    <w:rsid w:val="00562913"/>
    <w:rsid w:val="00562ED2"/>
    <w:rsid w:val="00563639"/>
    <w:rsid w:val="0056707E"/>
    <w:rsid w:val="00567401"/>
    <w:rsid w:val="00567767"/>
    <w:rsid w:val="00570770"/>
    <w:rsid w:val="005708DA"/>
    <w:rsid w:val="005717D9"/>
    <w:rsid w:val="00572207"/>
    <w:rsid w:val="00574703"/>
    <w:rsid w:val="00574A18"/>
    <w:rsid w:val="00575B7C"/>
    <w:rsid w:val="00575BF6"/>
    <w:rsid w:val="00576EBE"/>
    <w:rsid w:val="00576EF5"/>
    <w:rsid w:val="0058143A"/>
    <w:rsid w:val="00583084"/>
    <w:rsid w:val="005854C1"/>
    <w:rsid w:val="00587510"/>
    <w:rsid w:val="00590021"/>
    <w:rsid w:val="00592582"/>
    <w:rsid w:val="005936FB"/>
    <w:rsid w:val="005945D8"/>
    <w:rsid w:val="00594AB8"/>
    <w:rsid w:val="005975E1"/>
    <w:rsid w:val="00597CC0"/>
    <w:rsid w:val="005A0411"/>
    <w:rsid w:val="005A1C08"/>
    <w:rsid w:val="005A3548"/>
    <w:rsid w:val="005A388F"/>
    <w:rsid w:val="005A414A"/>
    <w:rsid w:val="005A74E0"/>
    <w:rsid w:val="005A7E57"/>
    <w:rsid w:val="005A7F6D"/>
    <w:rsid w:val="005B1263"/>
    <w:rsid w:val="005B1289"/>
    <w:rsid w:val="005B1C7F"/>
    <w:rsid w:val="005B1D9D"/>
    <w:rsid w:val="005B1DF7"/>
    <w:rsid w:val="005B1EBD"/>
    <w:rsid w:val="005B2E99"/>
    <w:rsid w:val="005B7900"/>
    <w:rsid w:val="005C0915"/>
    <w:rsid w:val="005C1566"/>
    <w:rsid w:val="005C2623"/>
    <w:rsid w:val="005C5D30"/>
    <w:rsid w:val="005C5FBD"/>
    <w:rsid w:val="005C68A4"/>
    <w:rsid w:val="005D2899"/>
    <w:rsid w:val="005D35EE"/>
    <w:rsid w:val="005D599A"/>
    <w:rsid w:val="005D7AE2"/>
    <w:rsid w:val="005E0B54"/>
    <w:rsid w:val="005E0F67"/>
    <w:rsid w:val="005E3691"/>
    <w:rsid w:val="005E51B4"/>
    <w:rsid w:val="005E7172"/>
    <w:rsid w:val="005E76F7"/>
    <w:rsid w:val="005E7F18"/>
    <w:rsid w:val="005F0E86"/>
    <w:rsid w:val="005F3718"/>
    <w:rsid w:val="005F424F"/>
    <w:rsid w:val="005F4D33"/>
    <w:rsid w:val="005F5EC4"/>
    <w:rsid w:val="0060022E"/>
    <w:rsid w:val="00601D44"/>
    <w:rsid w:val="00603513"/>
    <w:rsid w:val="00603A57"/>
    <w:rsid w:val="00610185"/>
    <w:rsid w:val="00611153"/>
    <w:rsid w:val="00611C29"/>
    <w:rsid w:val="00612590"/>
    <w:rsid w:val="00613797"/>
    <w:rsid w:val="00615455"/>
    <w:rsid w:val="00615874"/>
    <w:rsid w:val="00617605"/>
    <w:rsid w:val="006202B8"/>
    <w:rsid w:val="006219CE"/>
    <w:rsid w:val="00625061"/>
    <w:rsid w:val="00625C0E"/>
    <w:rsid w:val="006273A8"/>
    <w:rsid w:val="00627CDF"/>
    <w:rsid w:val="00633C6C"/>
    <w:rsid w:val="00633E56"/>
    <w:rsid w:val="00634289"/>
    <w:rsid w:val="0063650D"/>
    <w:rsid w:val="006432CA"/>
    <w:rsid w:val="0064586B"/>
    <w:rsid w:val="0064665C"/>
    <w:rsid w:val="00646F0D"/>
    <w:rsid w:val="00652ECA"/>
    <w:rsid w:val="00653DC3"/>
    <w:rsid w:val="006540CF"/>
    <w:rsid w:val="00655842"/>
    <w:rsid w:val="00657499"/>
    <w:rsid w:val="0065797F"/>
    <w:rsid w:val="0066269A"/>
    <w:rsid w:val="00662DE5"/>
    <w:rsid w:val="006630C1"/>
    <w:rsid w:val="0066512F"/>
    <w:rsid w:val="00667220"/>
    <w:rsid w:val="006676E9"/>
    <w:rsid w:val="00667759"/>
    <w:rsid w:val="00667E4F"/>
    <w:rsid w:val="00672D67"/>
    <w:rsid w:val="00672DCD"/>
    <w:rsid w:val="006743E4"/>
    <w:rsid w:val="0067441D"/>
    <w:rsid w:val="006767E9"/>
    <w:rsid w:val="00677933"/>
    <w:rsid w:val="00681186"/>
    <w:rsid w:val="00683901"/>
    <w:rsid w:val="00684761"/>
    <w:rsid w:val="00684977"/>
    <w:rsid w:val="0068663C"/>
    <w:rsid w:val="00686797"/>
    <w:rsid w:val="00686A6A"/>
    <w:rsid w:val="00691263"/>
    <w:rsid w:val="006913B4"/>
    <w:rsid w:val="00693145"/>
    <w:rsid w:val="00694AE8"/>
    <w:rsid w:val="00695386"/>
    <w:rsid w:val="00695CAE"/>
    <w:rsid w:val="0069657A"/>
    <w:rsid w:val="00696B01"/>
    <w:rsid w:val="00697E37"/>
    <w:rsid w:val="006A002F"/>
    <w:rsid w:val="006A1212"/>
    <w:rsid w:val="006A2E5F"/>
    <w:rsid w:val="006A2ED5"/>
    <w:rsid w:val="006A3696"/>
    <w:rsid w:val="006A51AD"/>
    <w:rsid w:val="006A587A"/>
    <w:rsid w:val="006A5A4E"/>
    <w:rsid w:val="006A5F5C"/>
    <w:rsid w:val="006A64F5"/>
    <w:rsid w:val="006B0395"/>
    <w:rsid w:val="006B32CD"/>
    <w:rsid w:val="006B659E"/>
    <w:rsid w:val="006B728B"/>
    <w:rsid w:val="006B7A89"/>
    <w:rsid w:val="006C1AF3"/>
    <w:rsid w:val="006C3F68"/>
    <w:rsid w:val="006D0F08"/>
    <w:rsid w:val="006D1AAD"/>
    <w:rsid w:val="006D1D34"/>
    <w:rsid w:val="006D2E26"/>
    <w:rsid w:val="006D363D"/>
    <w:rsid w:val="006D392E"/>
    <w:rsid w:val="006D4916"/>
    <w:rsid w:val="006D64F5"/>
    <w:rsid w:val="006D71F4"/>
    <w:rsid w:val="006D76E5"/>
    <w:rsid w:val="006E03C2"/>
    <w:rsid w:val="006E109D"/>
    <w:rsid w:val="006E42DB"/>
    <w:rsid w:val="006E6B89"/>
    <w:rsid w:val="006E6E64"/>
    <w:rsid w:val="006F0604"/>
    <w:rsid w:val="006F19AE"/>
    <w:rsid w:val="006F293E"/>
    <w:rsid w:val="006F5A23"/>
    <w:rsid w:val="00701EDA"/>
    <w:rsid w:val="007037AC"/>
    <w:rsid w:val="007048A2"/>
    <w:rsid w:val="007052BC"/>
    <w:rsid w:val="0070535F"/>
    <w:rsid w:val="00707B1C"/>
    <w:rsid w:val="00711BAB"/>
    <w:rsid w:val="0071409A"/>
    <w:rsid w:val="007145F3"/>
    <w:rsid w:val="00714794"/>
    <w:rsid w:val="00715D21"/>
    <w:rsid w:val="00716BE7"/>
    <w:rsid w:val="00720739"/>
    <w:rsid w:val="007209E4"/>
    <w:rsid w:val="007211BE"/>
    <w:rsid w:val="007237A1"/>
    <w:rsid w:val="0072597A"/>
    <w:rsid w:val="00725DB1"/>
    <w:rsid w:val="00725EC2"/>
    <w:rsid w:val="00727BCC"/>
    <w:rsid w:val="007306C9"/>
    <w:rsid w:val="00732C3B"/>
    <w:rsid w:val="007350FA"/>
    <w:rsid w:val="00736077"/>
    <w:rsid w:val="007361EC"/>
    <w:rsid w:val="00736F92"/>
    <w:rsid w:val="00737924"/>
    <w:rsid w:val="007406A2"/>
    <w:rsid w:val="00740937"/>
    <w:rsid w:val="00744EC4"/>
    <w:rsid w:val="007450B1"/>
    <w:rsid w:val="007569D6"/>
    <w:rsid w:val="00757655"/>
    <w:rsid w:val="007612DE"/>
    <w:rsid w:val="0076290C"/>
    <w:rsid w:val="00763238"/>
    <w:rsid w:val="00763A29"/>
    <w:rsid w:val="007644BC"/>
    <w:rsid w:val="007645B9"/>
    <w:rsid w:val="007655BC"/>
    <w:rsid w:val="007659D7"/>
    <w:rsid w:val="00765F89"/>
    <w:rsid w:val="00772931"/>
    <w:rsid w:val="00774FC1"/>
    <w:rsid w:val="00775E0D"/>
    <w:rsid w:val="0077690B"/>
    <w:rsid w:val="00781F77"/>
    <w:rsid w:val="00786ADE"/>
    <w:rsid w:val="00786F5D"/>
    <w:rsid w:val="00791F2F"/>
    <w:rsid w:val="007929DD"/>
    <w:rsid w:val="007A2E25"/>
    <w:rsid w:val="007A3479"/>
    <w:rsid w:val="007A38C7"/>
    <w:rsid w:val="007A3E30"/>
    <w:rsid w:val="007B02F8"/>
    <w:rsid w:val="007B2245"/>
    <w:rsid w:val="007B253A"/>
    <w:rsid w:val="007B4610"/>
    <w:rsid w:val="007B68CA"/>
    <w:rsid w:val="007B741A"/>
    <w:rsid w:val="007B7940"/>
    <w:rsid w:val="007C0178"/>
    <w:rsid w:val="007C18EE"/>
    <w:rsid w:val="007C34EC"/>
    <w:rsid w:val="007C6EBA"/>
    <w:rsid w:val="007D07A9"/>
    <w:rsid w:val="007D2D4F"/>
    <w:rsid w:val="007D331A"/>
    <w:rsid w:val="007D34F4"/>
    <w:rsid w:val="007D4A78"/>
    <w:rsid w:val="007E037A"/>
    <w:rsid w:val="007E0632"/>
    <w:rsid w:val="007E0CD6"/>
    <w:rsid w:val="007E2110"/>
    <w:rsid w:val="007E2300"/>
    <w:rsid w:val="007E29F6"/>
    <w:rsid w:val="007E516B"/>
    <w:rsid w:val="007E51D8"/>
    <w:rsid w:val="007E5D95"/>
    <w:rsid w:val="007E63C9"/>
    <w:rsid w:val="007E6859"/>
    <w:rsid w:val="007E6DAE"/>
    <w:rsid w:val="007E71D0"/>
    <w:rsid w:val="007E74F5"/>
    <w:rsid w:val="007E7B53"/>
    <w:rsid w:val="007E7BB6"/>
    <w:rsid w:val="007F0E92"/>
    <w:rsid w:val="007F132A"/>
    <w:rsid w:val="007F1575"/>
    <w:rsid w:val="007F551E"/>
    <w:rsid w:val="007F5EFB"/>
    <w:rsid w:val="007F6607"/>
    <w:rsid w:val="007F7613"/>
    <w:rsid w:val="008006F9"/>
    <w:rsid w:val="00802D07"/>
    <w:rsid w:val="00807A94"/>
    <w:rsid w:val="00810AD2"/>
    <w:rsid w:val="00810C48"/>
    <w:rsid w:val="008111C3"/>
    <w:rsid w:val="00812822"/>
    <w:rsid w:val="00812BEF"/>
    <w:rsid w:val="008147A4"/>
    <w:rsid w:val="00815CC1"/>
    <w:rsid w:val="00815CD7"/>
    <w:rsid w:val="008172CB"/>
    <w:rsid w:val="00821423"/>
    <w:rsid w:val="00823F6E"/>
    <w:rsid w:val="0082451A"/>
    <w:rsid w:val="0082516C"/>
    <w:rsid w:val="0082577E"/>
    <w:rsid w:val="00826384"/>
    <w:rsid w:val="008267B4"/>
    <w:rsid w:val="00826896"/>
    <w:rsid w:val="00831B33"/>
    <w:rsid w:val="008323E6"/>
    <w:rsid w:val="00832852"/>
    <w:rsid w:val="008367C5"/>
    <w:rsid w:val="008407AE"/>
    <w:rsid w:val="00840891"/>
    <w:rsid w:val="00840AD9"/>
    <w:rsid w:val="00843637"/>
    <w:rsid w:val="00845382"/>
    <w:rsid w:val="00846DCB"/>
    <w:rsid w:val="008473CF"/>
    <w:rsid w:val="008474F2"/>
    <w:rsid w:val="00847B13"/>
    <w:rsid w:val="008542FC"/>
    <w:rsid w:val="00857487"/>
    <w:rsid w:val="008600B3"/>
    <w:rsid w:val="00861998"/>
    <w:rsid w:val="0086260B"/>
    <w:rsid w:val="00864C99"/>
    <w:rsid w:val="0086559C"/>
    <w:rsid w:val="00871512"/>
    <w:rsid w:val="008720C7"/>
    <w:rsid w:val="00875A1F"/>
    <w:rsid w:val="00881E81"/>
    <w:rsid w:val="0088378B"/>
    <w:rsid w:val="008837CF"/>
    <w:rsid w:val="00883B2D"/>
    <w:rsid w:val="008843A6"/>
    <w:rsid w:val="00884429"/>
    <w:rsid w:val="00884E06"/>
    <w:rsid w:val="00885067"/>
    <w:rsid w:val="00886D33"/>
    <w:rsid w:val="008900B6"/>
    <w:rsid w:val="0089169F"/>
    <w:rsid w:val="00892DB0"/>
    <w:rsid w:val="00893C0E"/>
    <w:rsid w:val="00897081"/>
    <w:rsid w:val="008A0981"/>
    <w:rsid w:val="008A0C10"/>
    <w:rsid w:val="008A126A"/>
    <w:rsid w:val="008A338F"/>
    <w:rsid w:val="008A41AB"/>
    <w:rsid w:val="008A439E"/>
    <w:rsid w:val="008A53AD"/>
    <w:rsid w:val="008A54D9"/>
    <w:rsid w:val="008A7C92"/>
    <w:rsid w:val="008B0B0B"/>
    <w:rsid w:val="008B15A0"/>
    <w:rsid w:val="008B32A7"/>
    <w:rsid w:val="008B391E"/>
    <w:rsid w:val="008B4907"/>
    <w:rsid w:val="008B6482"/>
    <w:rsid w:val="008B6B69"/>
    <w:rsid w:val="008B6EBA"/>
    <w:rsid w:val="008C14B2"/>
    <w:rsid w:val="008C2997"/>
    <w:rsid w:val="008C3FDF"/>
    <w:rsid w:val="008C4C26"/>
    <w:rsid w:val="008C5BB8"/>
    <w:rsid w:val="008D67EA"/>
    <w:rsid w:val="008D6CA3"/>
    <w:rsid w:val="008D7D52"/>
    <w:rsid w:val="008D7FF2"/>
    <w:rsid w:val="008E3318"/>
    <w:rsid w:val="008E3422"/>
    <w:rsid w:val="008E54D0"/>
    <w:rsid w:val="008E6ADF"/>
    <w:rsid w:val="008F146E"/>
    <w:rsid w:val="008F2F69"/>
    <w:rsid w:val="008F3D30"/>
    <w:rsid w:val="008F5D2C"/>
    <w:rsid w:val="008F6251"/>
    <w:rsid w:val="00900AE7"/>
    <w:rsid w:val="00901232"/>
    <w:rsid w:val="00903290"/>
    <w:rsid w:val="0090475D"/>
    <w:rsid w:val="00907361"/>
    <w:rsid w:val="0091034C"/>
    <w:rsid w:val="009110C6"/>
    <w:rsid w:val="00914E74"/>
    <w:rsid w:val="00916DF9"/>
    <w:rsid w:val="00916FEA"/>
    <w:rsid w:val="00917BC3"/>
    <w:rsid w:val="009214B8"/>
    <w:rsid w:val="00921EA2"/>
    <w:rsid w:val="009257CC"/>
    <w:rsid w:val="00927733"/>
    <w:rsid w:val="0093132E"/>
    <w:rsid w:val="0093238E"/>
    <w:rsid w:val="00936428"/>
    <w:rsid w:val="00936CAA"/>
    <w:rsid w:val="00937256"/>
    <w:rsid w:val="00940D45"/>
    <w:rsid w:val="00940E2B"/>
    <w:rsid w:val="00941428"/>
    <w:rsid w:val="0094753F"/>
    <w:rsid w:val="00947592"/>
    <w:rsid w:val="00950415"/>
    <w:rsid w:val="009505D1"/>
    <w:rsid w:val="009534ED"/>
    <w:rsid w:val="00961796"/>
    <w:rsid w:val="00962C21"/>
    <w:rsid w:val="00962E11"/>
    <w:rsid w:val="009632FB"/>
    <w:rsid w:val="00963980"/>
    <w:rsid w:val="00964376"/>
    <w:rsid w:val="009654BF"/>
    <w:rsid w:val="009654D3"/>
    <w:rsid w:val="0096692E"/>
    <w:rsid w:val="00967E7F"/>
    <w:rsid w:val="009719F8"/>
    <w:rsid w:val="009731D1"/>
    <w:rsid w:val="009733F2"/>
    <w:rsid w:val="00973679"/>
    <w:rsid w:val="00974B88"/>
    <w:rsid w:val="009809A1"/>
    <w:rsid w:val="00980D5D"/>
    <w:rsid w:val="00981946"/>
    <w:rsid w:val="0098296A"/>
    <w:rsid w:val="00984550"/>
    <w:rsid w:val="009851D7"/>
    <w:rsid w:val="00986608"/>
    <w:rsid w:val="009914BE"/>
    <w:rsid w:val="00992FFD"/>
    <w:rsid w:val="00993345"/>
    <w:rsid w:val="009933B0"/>
    <w:rsid w:val="0099375F"/>
    <w:rsid w:val="00993F07"/>
    <w:rsid w:val="00997EC9"/>
    <w:rsid w:val="009A0A58"/>
    <w:rsid w:val="009A0DC1"/>
    <w:rsid w:val="009A4248"/>
    <w:rsid w:val="009A496B"/>
    <w:rsid w:val="009A6AC2"/>
    <w:rsid w:val="009A713B"/>
    <w:rsid w:val="009B16CA"/>
    <w:rsid w:val="009B3BD2"/>
    <w:rsid w:val="009B64CF"/>
    <w:rsid w:val="009B6C43"/>
    <w:rsid w:val="009B7292"/>
    <w:rsid w:val="009C00DD"/>
    <w:rsid w:val="009C22EC"/>
    <w:rsid w:val="009C31C5"/>
    <w:rsid w:val="009C37B0"/>
    <w:rsid w:val="009C4BAF"/>
    <w:rsid w:val="009C6667"/>
    <w:rsid w:val="009C726E"/>
    <w:rsid w:val="009C7ACE"/>
    <w:rsid w:val="009D27F5"/>
    <w:rsid w:val="009D4E01"/>
    <w:rsid w:val="009D59BB"/>
    <w:rsid w:val="009D5D3F"/>
    <w:rsid w:val="009D5E47"/>
    <w:rsid w:val="009D6ED2"/>
    <w:rsid w:val="009E0FE4"/>
    <w:rsid w:val="009E3171"/>
    <w:rsid w:val="009E4227"/>
    <w:rsid w:val="009E5160"/>
    <w:rsid w:val="009E533C"/>
    <w:rsid w:val="009F291D"/>
    <w:rsid w:val="009F41B8"/>
    <w:rsid w:val="009F4E0A"/>
    <w:rsid w:val="009F4FCD"/>
    <w:rsid w:val="009F5EB1"/>
    <w:rsid w:val="009F5FE2"/>
    <w:rsid w:val="009F6522"/>
    <w:rsid w:val="00A01D89"/>
    <w:rsid w:val="00A0450F"/>
    <w:rsid w:val="00A06FF1"/>
    <w:rsid w:val="00A073DB"/>
    <w:rsid w:val="00A100CD"/>
    <w:rsid w:val="00A20704"/>
    <w:rsid w:val="00A2251C"/>
    <w:rsid w:val="00A227FD"/>
    <w:rsid w:val="00A23DE3"/>
    <w:rsid w:val="00A244B7"/>
    <w:rsid w:val="00A25928"/>
    <w:rsid w:val="00A26703"/>
    <w:rsid w:val="00A26A5E"/>
    <w:rsid w:val="00A27308"/>
    <w:rsid w:val="00A3078B"/>
    <w:rsid w:val="00A32161"/>
    <w:rsid w:val="00A3228E"/>
    <w:rsid w:val="00A33791"/>
    <w:rsid w:val="00A34769"/>
    <w:rsid w:val="00A35DE0"/>
    <w:rsid w:val="00A36FAD"/>
    <w:rsid w:val="00A37CB3"/>
    <w:rsid w:val="00A43A31"/>
    <w:rsid w:val="00A447B6"/>
    <w:rsid w:val="00A50E35"/>
    <w:rsid w:val="00A53720"/>
    <w:rsid w:val="00A64E66"/>
    <w:rsid w:val="00A65948"/>
    <w:rsid w:val="00A65D0F"/>
    <w:rsid w:val="00A66634"/>
    <w:rsid w:val="00A674A0"/>
    <w:rsid w:val="00A674A2"/>
    <w:rsid w:val="00A67587"/>
    <w:rsid w:val="00A678B5"/>
    <w:rsid w:val="00A717D4"/>
    <w:rsid w:val="00A733DB"/>
    <w:rsid w:val="00A737D9"/>
    <w:rsid w:val="00A75756"/>
    <w:rsid w:val="00A76BC5"/>
    <w:rsid w:val="00A8019D"/>
    <w:rsid w:val="00A80F50"/>
    <w:rsid w:val="00A81690"/>
    <w:rsid w:val="00A82246"/>
    <w:rsid w:val="00A85F64"/>
    <w:rsid w:val="00A87BD5"/>
    <w:rsid w:val="00A90024"/>
    <w:rsid w:val="00A910E5"/>
    <w:rsid w:val="00A92105"/>
    <w:rsid w:val="00A92F76"/>
    <w:rsid w:val="00A9395C"/>
    <w:rsid w:val="00A93FB8"/>
    <w:rsid w:val="00A95564"/>
    <w:rsid w:val="00A956DC"/>
    <w:rsid w:val="00A9632A"/>
    <w:rsid w:val="00A97206"/>
    <w:rsid w:val="00AA12DD"/>
    <w:rsid w:val="00AA4832"/>
    <w:rsid w:val="00AA5F41"/>
    <w:rsid w:val="00AA6BC1"/>
    <w:rsid w:val="00AB0038"/>
    <w:rsid w:val="00AB0757"/>
    <w:rsid w:val="00AB2A46"/>
    <w:rsid w:val="00AB2FFD"/>
    <w:rsid w:val="00AB4D32"/>
    <w:rsid w:val="00AB72AE"/>
    <w:rsid w:val="00AC1D35"/>
    <w:rsid w:val="00AC298C"/>
    <w:rsid w:val="00AC547C"/>
    <w:rsid w:val="00AC56EF"/>
    <w:rsid w:val="00AD0D65"/>
    <w:rsid w:val="00AD13A8"/>
    <w:rsid w:val="00AD1D69"/>
    <w:rsid w:val="00AD2C7E"/>
    <w:rsid w:val="00AD322C"/>
    <w:rsid w:val="00AD3CF6"/>
    <w:rsid w:val="00AE00DE"/>
    <w:rsid w:val="00AE1558"/>
    <w:rsid w:val="00AE3CBF"/>
    <w:rsid w:val="00AE5EF5"/>
    <w:rsid w:val="00AE5F0D"/>
    <w:rsid w:val="00AE6180"/>
    <w:rsid w:val="00AE6626"/>
    <w:rsid w:val="00AE6973"/>
    <w:rsid w:val="00AE6E26"/>
    <w:rsid w:val="00AF016E"/>
    <w:rsid w:val="00AF0D9D"/>
    <w:rsid w:val="00AF0EB6"/>
    <w:rsid w:val="00AF4493"/>
    <w:rsid w:val="00AF540C"/>
    <w:rsid w:val="00AF705A"/>
    <w:rsid w:val="00B009A7"/>
    <w:rsid w:val="00B00B0E"/>
    <w:rsid w:val="00B12441"/>
    <w:rsid w:val="00B16E13"/>
    <w:rsid w:val="00B17397"/>
    <w:rsid w:val="00B20A2D"/>
    <w:rsid w:val="00B22DAD"/>
    <w:rsid w:val="00B23DD8"/>
    <w:rsid w:val="00B25818"/>
    <w:rsid w:val="00B26AE6"/>
    <w:rsid w:val="00B27476"/>
    <w:rsid w:val="00B27A70"/>
    <w:rsid w:val="00B27E0B"/>
    <w:rsid w:val="00B321B1"/>
    <w:rsid w:val="00B326E5"/>
    <w:rsid w:val="00B349A0"/>
    <w:rsid w:val="00B37460"/>
    <w:rsid w:val="00B422F8"/>
    <w:rsid w:val="00B444C2"/>
    <w:rsid w:val="00B44C65"/>
    <w:rsid w:val="00B45578"/>
    <w:rsid w:val="00B45F03"/>
    <w:rsid w:val="00B463EA"/>
    <w:rsid w:val="00B473AA"/>
    <w:rsid w:val="00B53992"/>
    <w:rsid w:val="00B54629"/>
    <w:rsid w:val="00B56221"/>
    <w:rsid w:val="00B568FE"/>
    <w:rsid w:val="00B5773E"/>
    <w:rsid w:val="00B57C34"/>
    <w:rsid w:val="00B61881"/>
    <w:rsid w:val="00B63810"/>
    <w:rsid w:val="00B6443E"/>
    <w:rsid w:val="00B64DCF"/>
    <w:rsid w:val="00B64FEE"/>
    <w:rsid w:val="00B66083"/>
    <w:rsid w:val="00B66A24"/>
    <w:rsid w:val="00B66E80"/>
    <w:rsid w:val="00B67028"/>
    <w:rsid w:val="00B676AD"/>
    <w:rsid w:val="00B707E4"/>
    <w:rsid w:val="00B74BCA"/>
    <w:rsid w:val="00B74CC7"/>
    <w:rsid w:val="00B76F57"/>
    <w:rsid w:val="00B812FA"/>
    <w:rsid w:val="00B844DA"/>
    <w:rsid w:val="00B844E1"/>
    <w:rsid w:val="00B8518C"/>
    <w:rsid w:val="00B901F1"/>
    <w:rsid w:val="00B90CF3"/>
    <w:rsid w:val="00BA0BAC"/>
    <w:rsid w:val="00BA3095"/>
    <w:rsid w:val="00BA707F"/>
    <w:rsid w:val="00BA70A2"/>
    <w:rsid w:val="00BA7DB2"/>
    <w:rsid w:val="00BB1585"/>
    <w:rsid w:val="00BB19F9"/>
    <w:rsid w:val="00BB25F1"/>
    <w:rsid w:val="00BB2B86"/>
    <w:rsid w:val="00BB39A4"/>
    <w:rsid w:val="00BB3DB9"/>
    <w:rsid w:val="00BB45E2"/>
    <w:rsid w:val="00BB6407"/>
    <w:rsid w:val="00BB684A"/>
    <w:rsid w:val="00BB6E0D"/>
    <w:rsid w:val="00BC12E6"/>
    <w:rsid w:val="00BC1C27"/>
    <w:rsid w:val="00BC204E"/>
    <w:rsid w:val="00BC4664"/>
    <w:rsid w:val="00BC7693"/>
    <w:rsid w:val="00BD0D9C"/>
    <w:rsid w:val="00BD14A4"/>
    <w:rsid w:val="00BD33BF"/>
    <w:rsid w:val="00BD41B4"/>
    <w:rsid w:val="00BD4480"/>
    <w:rsid w:val="00BD479F"/>
    <w:rsid w:val="00BD6259"/>
    <w:rsid w:val="00BD6DC3"/>
    <w:rsid w:val="00BE0EEE"/>
    <w:rsid w:val="00BE17AA"/>
    <w:rsid w:val="00BE1A5C"/>
    <w:rsid w:val="00BE1F1F"/>
    <w:rsid w:val="00BE41EF"/>
    <w:rsid w:val="00BE7F58"/>
    <w:rsid w:val="00BF258E"/>
    <w:rsid w:val="00BF3157"/>
    <w:rsid w:val="00BF5FD3"/>
    <w:rsid w:val="00C01DD0"/>
    <w:rsid w:val="00C0236B"/>
    <w:rsid w:val="00C030D2"/>
    <w:rsid w:val="00C04AD4"/>
    <w:rsid w:val="00C04BBF"/>
    <w:rsid w:val="00C068ED"/>
    <w:rsid w:val="00C137A3"/>
    <w:rsid w:val="00C16C72"/>
    <w:rsid w:val="00C177FE"/>
    <w:rsid w:val="00C22953"/>
    <w:rsid w:val="00C25AD9"/>
    <w:rsid w:val="00C272F1"/>
    <w:rsid w:val="00C350B3"/>
    <w:rsid w:val="00C414D2"/>
    <w:rsid w:val="00C41947"/>
    <w:rsid w:val="00C41EEB"/>
    <w:rsid w:val="00C46FCD"/>
    <w:rsid w:val="00C47C80"/>
    <w:rsid w:val="00C514C0"/>
    <w:rsid w:val="00C515A9"/>
    <w:rsid w:val="00C53F89"/>
    <w:rsid w:val="00C574CA"/>
    <w:rsid w:val="00C60B97"/>
    <w:rsid w:val="00C64202"/>
    <w:rsid w:val="00C67E6B"/>
    <w:rsid w:val="00C70AED"/>
    <w:rsid w:val="00C71857"/>
    <w:rsid w:val="00C72C44"/>
    <w:rsid w:val="00C7414A"/>
    <w:rsid w:val="00C77328"/>
    <w:rsid w:val="00C77B12"/>
    <w:rsid w:val="00C80DAA"/>
    <w:rsid w:val="00C83FFD"/>
    <w:rsid w:val="00C8429C"/>
    <w:rsid w:val="00C85474"/>
    <w:rsid w:val="00C86FFE"/>
    <w:rsid w:val="00C871AC"/>
    <w:rsid w:val="00C8794B"/>
    <w:rsid w:val="00C907FA"/>
    <w:rsid w:val="00C911CC"/>
    <w:rsid w:val="00C91CCD"/>
    <w:rsid w:val="00C93668"/>
    <w:rsid w:val="00C93E40"/>
    <w:rsid w:val="00C9436A"/>
    <w:rsid w:val="00C95294"/>
    <w:rsid w:val="00C9541A"/>
    <w:rsid w:val="00C95A05"/>
    <w:rsid w:val="00C95EE2"/>
    <w:rsid w:val="00C960CB"/>
    <w:rsid w:val="00C964DF"/>
    <w:rsid w:val="00C966FA"/>
    <w:rsid w:val="00C97150"/>
    <w:rsid w:val="00CA1815"/>
    <w:rsid w:val="00CA3D3F"/>
    <w:rsid w:val="00CA497C"/>
    <w:rsid w:val="00CA5FD5"/>
    <w:rsid w:val="00CB166C"/>
    <w:rsid w:val="00CB1D69"/>
    <w:rsid w:val="00CB311E"/>
    <w:rsid w:val="00CC0EBE"/>
    <w:rsid w:val="00CC185E"/>
    <w:rsid w:val="00CC5BB0"/>
    <w:rsid w:val="00CC710E"/>
    <w:rsid w:val="00CD10D2"/>
    <w:rsid w:val="00CD17A9"/>
    <w:rsid w:val="00CD3D10"/>
    <w:rsid w:val="00CD4166"/>
    <w:rsid w:val="00CD696B"/>
    <w:rsid w:val="00CD7631"/>
    <w:rsid w:val="00CE4E7B"/>
    <w:rsid w:val="00CE7C99"/>
    <w:rsid w:val="00CF0073"/>
    <w:rsid w:val="00CF0D20"/>
    <w:rsid w:val="00CF15F3"/>
    <w:rsid w:val="00CF3AED"/>
    <w:rsid w:val="00CF3C0A"/>
    <w:rsid w:val="00CF434B"/>
    <w:rsid w:val="00CF580E"/>
    <w:rsid w:val="00CF7551"/>
    <w:rsid w:val="00D02276"/>
    <w:rsid w:val="00D029A3"/>
    <w:rsid w:val="00D03709"/>
    <w:rsid w:val="00D047E1"/>
    <w:rsid w:val="00D05AB8"/>
    <w:rsid w:val="00D075AB"/>
    <w:rsid w:val="00D076E0"/>
    <w:rsid w:val="00D07710"/>
    <w:rsid w:val="00D116A0"/>
    <w:rsid w:val="00D117AA"/>
    <w:rsid w:val="00D11BBE"/>
    <w:rsid w:val="00D1341C"/>
    <w:rsid w:val="00D13447"/>
    <w:rsid w:val="00D1436A"/>
    <w:rsid w:val="00D149CF"/>
    <w:rsid w:val="00D15D81"/>
    <w:rsid w:val="00D170C3"/>
    <w:rsid w:val="00D20828"/>
    <w:rsid w:val="00D20CE5"/>
    <w:rsid w:val="00D256E5"/>
    <w:rsid w:val="00D266A1"/>
    <w:rsid w:val="00D26A7F"/>
    <w:rsid w:val="00D27C7E"/>
    <w:rsid w:val="00D30330"/>
    <w:rsid w:val="00D30E96"/>
    <w:rsid w:val="00D31081"/>
    <w:rsid w:val="00D312D1"/>
    <w:rsid w:val="00D32DE8"/>
    <w:rsid w:val="00D34049"/>
    <w:rsid w:val="00D34DBC"/>
    <w:rsid w:val="00D37C1A"/>
    <w:rsid w:val="00D4054B"/>
    <w:rsid w:val="00D40EA0"/>
    <w:rsid w:val="00D43157"/>
    <w:rsid w:val="00D45809"/>
    <w:rsid w:val="00D4625D"/>
    <w:rsid w:val="00D47CD8"/>
    <w:rsid w:val="00D47D02"/>
    <w:rsid w:val="00D51464"/>
    <w:rsid w:val="00D5225A"/>
    <w:rsid w:val="00D523F7"/>
    <w:rsid w:val="00D52744"/>
    <w:rsid w:val="00D52899"/>
    <w:rsid w:val="00D53810"/>
    <w:rsid w:val="00D53AFA"/>
    <w:rsid w:val="00D542B9"/>
    <w:rsid w:val="00D54AD5"/>
    <w:rsid w:val="00D57CC9"/>
    <w:rsid w:val="00D646C0"/>
    <w:rsid w:val="00D64C00"/>
    <w:rsid w:val="00D673EE"/>
    <w:rsid w:val="00D70149"/>
    <w:rsid w:val="00D71831"/>
    <w:rsid w:val="00D71EE4"/>
    <w:rsid w:val="00D7282C"/>
    <w:rsid w:val="00D74824"/>
    <w:rsid w:val="00D773B2"/>
    <w:rsid w:val="00D81088"/>
    <w:rsid w:val="00D831C6"/>
    <w:rsid w:val="00D850AF"/>
    <w:rsid w:val="00D85C89"/>
    <w:rsid w:val="00D86AAB"/>
    <w:rsid w:val="00D92F84"/>
    <w:rsid w:val="00D932A0"/>
    <w:rsid w:val="00D93BEB"/>
    <w:rsid w:val="00D945D7"/>
    <w:rsid w:val="00D94981"/>
    <w:rsid w:val="00D97BD7"/>
    <w:rsid w:val="00DA5270"/>
    <w:rsid w:val="00DA760D"/>
    <w:rsid w:val="00DB0A9B"/>
    <w:rsid w:val="00DB2AD5"/>
    <w:rsid w:val="00DB2DDA"/>
    <w:rsid w:val="00DB50D3"/>
    <w:rsid w:val="00DB5967"/>
    <w:rsid w:val="00DB5F7B"/>
    <w:rsid w:val="00DB6AD2"/>
    <w:rsid w:val="00DB71FE"/>
    <w:rsid w:val="00DC436D"/>
    <w:rsid w:val="00DC6C5A"/>
    <w:rsid w:val="00DC729F"/>
    <w:rsid w:val="00DD0A95"/>
    <w:rsid w:val="00DE008C"/>
    <w:rsid w:val="00DE04BC"/>
    <w:rsid w:val="00DE0EFE"/>
    <w:rsid w:val="00DE1361"/>
    <w:rsid w:val="00DE1C50"/>
    <w:rsid w:val="00DE3275"/>
    <w:rsid w:val="00DE6B4E"/>
    <w:rsid w:val="00DE7D13"/>
    <w:rsid w:val="00DF167E"/>
    <w:rsid w:val="00DF1A4C"/>
    <w:rsid w:val="00DF1D64"/>
    <w:rsid w:val="00DF20C0"/>
    <w:rsid w:val="00DF3D19"/>
    <w:rsid w:val="00E000E4"/>
    <w:rsid w:val="00E010E7"/>
    <w:rsid w:val="00E013CE"/>
    <w:rsid w:val="00E02797"/>
    <w:rsid w:val="00E0557F"/>
    <w:rsid w:val="00E06112"/>
    <w:rsid w:val="00E06C5E"/>
    <w:rsid w:val="00E06E9C"/>
    <w:rsid w:val="00E0795A"/>
    <w:rsid w:val="00E104BC"/>
    <w:rsid w:val="00E10757"/>
    <w:rsid w:val="00E10C4B"/>
    <w:rsid w:val="00E114B0"/>
    <w:rsid w:val="00E1184D"/>
    <w:rsid w:val="00E11EA7"/>
    <w:rsid w:val="00E123E7"/>
    <w:rsid w:val="00E13C28"/>
    <w:rsid w:val="00E1500C"/>
    <w:rsid w:val="00E15175"/>
    <w:rsid w:val="00E2507A"/>
    <w:rsid w:val="00E26A6D"/>
    <w:rsid w:val="00E26F4C"/>
    <w:rsid w:val="00E32266"/>
    <w:rsid w:val="00E33268"/>
    <w:rsid w:val="00E33BC5"/>
    <w:rsid w:val="00E33CD0"/>
    <w:rsid w:val="00E355DC"/>
    <w:rsid w:val="00E4039C"/>
    <w:rsid w:val="00E42AA1"/>
    <w:rsid w:val="00E42E5A"/>
    <w:rsid w:val="00E42EAE"/>
    <w:rsid w:val="00E44A62"/>
    <w:rsid w:val="00E4594B"/>
    <w:rsid w:val="00E4670A"/>
    <w:rsid w:val="00E4779B"/>
    <w:rsid w:val="00E50A23"/>
    <w:rsid w:val="00E523E0"/>
    <w:rsid w:val="00E52B1E"/>
    <w:rsid w:val="00E5336F"/>
    <w:rsid w:val="00E55518"/>
    <w:rsid w:val="00E5628B"/>
    <w:rsid w:val="00E60374"/>
    <w:rsid w:val="00E609B5"/>
    <w:rsid w:val="00E60E95"/>
    <w:rsid w:val="00E62D44"/>
    <w:rsid w:val="00E64C6F"/>
    <w:rsid w:val="00E65517"/>
    <w:rsid w:val="00E705BE"/>
    <w:rsid w:val="00E731EF"/>
    <w:rsid w:val="00E76BF7"/>
    <w:rsid w:val="00E775FA"/>
    <w:rsid w:val="00E77903"/>
    <w:rsid w:val="00E8063B"/>
    <w:rsid w:val="00E8116B"/>
    <w:rsid w:val="00E81BCA"/>
    <w:rsid w:val="00E83407"/>
    <w:rsid w:val="00E855AB"/>
    <w:rsid w:val="00E86462"/>
    <w:rsid w:val="00E87332"/>
    <w:rsid w:val="00E874D7"/>
    <w:rsid w:val="00E914D2"/>
    <w:rsid w:val="00E92180"/>
    <w:rsid w:val="00E93153"/>
    <w:rsid w:val="00E933AC"/>
    <w:rsid w:val="00E9595E"/>
    <w:rsid w:val="00E95D8B"/>
    <w:rsid w:val="00E96EE3"/>
    <w:rsid w:val="00EA0A7B"/>
    <w:rsid w:val="00EA0E01"/>
    <w:rsid w:val="00EA2C94"/>
    <w:rsid w:val="00EA2CFF"/>
    <w:rsid w:val="00EA33FB"/>
    <w:rsid w:val="00EB1045"/>
    <w:rsid w:val="00EB3796"/>
    <w:rsid w:val="00EC090D"/>
    <w:rsid w:val="00EC2EEC"/>
    <w:rsid w:val="00EC3685"/>
    <w:rsid w:val="00EC4804"/>
    <w:rsid w:val="00EC5036"/>
    <w:rsid w:val="00EC59FB"/>
    <w:rsid w:val="00EC6100"/>
    <w:rsid w:val="00EC6837"/>
    <w:rsid w:val="00EC6BBF"/>
    <w:rsid w:val="00EC7435"/>
    <w:rsid w:val="00EC7EF2"/>
    <w:rsid w:val="00ED0387"/>
    <w:rsid w:val="00ED0512"/>
    <w:rsid w:val="00ED0CFF"/>
    <w:rsid w:val="00ED1400"/>
    <w:rsid w:val="00ED1428"/>
    <w:rsid w:val="00ED37C3"/>
    <w:rsid w:val="00ED53AC"/>
    <w:rsid w:val="00ED6235"/>
    <w:rsid w:val="00ED6D14"/>
    <w:rsid w:val="00EE0B4B"/>
    <w:rsid w:val="00EE125E"/>
    <w:rsid w:val="00EE1A2A"/>
    <w:rsid w:val="00EE2091"/>
    <w:rsid w:val="00EE3378"/>
    <w:rsid w:val="00EE4B96"/>
    <w:rsid w:val="00EE549B"/>
    <w:rsid w:val="00EE6957"/>
    <w:rsid w:val="00EF16D6"/>
    <w:rsid w:val="00EF2128"/>
    <w:rsid w:val="00EF2DE2"/>
    <w:rsid w:val="00EF4CBA"/>
    <w:rsid w:val="00F00B41"/>
    <w:rsid w:val="00F01E3B"/>
    <w:rsid w:val="00F021B6"/>
    <w:rsid w:val="00F03924"/>
    <w:rsid w:val="00F043AF"/>
    <w:rsid w:val="00F04ECD"/>
    <w:rsid w:val="00F12064"/>
    <w:rsid w:val="00F126A9"/>
    <w:rsid w:val="00F13C80"/>
    <w:rsid w:val="00F16336"/>
    <w:rsid w:val="00F2159A"/>
    <w:rsid w:val="00F21C50"/>
    <w:rsid w:val="00F223E6"/>
    <w:rsid w:val="00F24D22"/>
    <w:rsid w:val="00F26059"/>
    <w:rsid w:val="00F26C2C"/>
    <w:rsid w:val="00F273D7"/>
    <w:rsid w:val="00F30EBB"/>
    <w:rsid w:val="00F30F81"/>
    <w:rsid w:val="00F31107"/>
    <w:rsid w:val="00F31741"/>
    <w:rsid w:val="00F3218A"/>
    <w:rsid w:val="00F33702"/>
    <w:rsid w:val="00F34D39"/>
    <w:rsid w:val="00F35137"/>
    <w:rsid w:val="00F35427"/>
    <w:rsid w:val="00F36FD8"/>
    <w:rsid w:val="00F374F3"/>
    <w:rsid w:val="00F401AB"/>
    <w:rsid w:val="00F40384"/>
    <w:rsid w:val="00F42301"/>
    <w:rsid w:val="00F42F26"/>
    <w:rsid w:val="00F4359D"/>
    <w:rsid w:val="00F45806"/>
    <w:rsid w:val="00F467B8"/>
    <w:rsid w:val="00F546E9"/>
    <w:rsid w:val="00F575EF"/>
    <w:rsid w:val="00F5784F"/>
    <w:rsid w:val="00F63B60"/>
    <w:rsid w:val="00F6491D"/>
    <w:rsid w:val="00F67020"/>
    <w:rsid w:val="00F72199"/>
    <w:rsid w:val="00F73383"/>
    <w:rsid w:val="00F73C21"/>
    <w:rsid w:val="00F75C5C"/>
    <w:rsid w:val="00F77734"/>
    <w:rsid w:val="00F834A2"/>
    <w:rsid w:val="00F85A64"/>
    <w:rsid w:val="00F85E80"/>
    <w:rsid w:val="00F86338"/>
    <w:rsid w:val="00F90052"/>
    <w:rsid w:val="00F9043C"/>
    <w:rsid w:val="00F9081A"/>
    <w:rsid w:val="00F90990"/>
    <w:rsid w:val="00F92D82"/>
    <w:rsid w:val="00F95A57"/>
    <w:rsid w:val="00F96388"/>
    <w:rsid w:val="00F97AEB"/>
    <w:rsid w:val="00FA217E"/>
    <w:rsid w:val="00FA40E8"/>
    <w:rsid w:val="00FA41C4"/>
    <w:rsid w:val="00FA4F75"/>
    <w:rsid w:val="00FB01C1"/>
    <w:rsid w:val="00FB12A1"/>
    <w:rsid w:val="00FB1F04"/>
    <w:rsid w:val="00FB28A1"/>
    <w:rsid w:val="00FB3FC9"/>
    <w:rsid w:val="00FB5A84"/>
    <w:rsid w:val="00FB74B3"/>
    <w:rsid w:val="00FB7A33"/>
    <w:rsid w:val="00FC74EB"/>
    <w:rsid w:val="00FD1D41"/>
    <w:rsid w:val="00FD36B3"/>
    <w:rsid w:val="00FD636E"/>
    <w:rsid w:val="00FD7087"/>
    <w:rsid w:val="00FD7D0A"/>
    <w:rsid w:val="00FD7E1D"/>
    <w:rsid w:val="00FE05EE"/>
    <w:rsid w:val="00FE09F1"/>
    <w:rsid w:val="00FE2B69"/>
    <w:rsid w:val="00FE2FC3"/>
    <w:rsid w:val="00FE547F"/>
    <w:rsid w:val="00FE6989"/>
    <w:rsid w:val="00FE7BE7"/>
    <w:rsid w:val="00FE7FC2"/>
    <w:rsid w:val="00FF1758"/>
    <w:rsid w:val="00FF2D7D"/>
    <w:rsid w:val="00FF6408"/>
    <w:rsid w:val="00FF6BC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5AAEE"/>
  <w15:chartTrackingRefBased/>
  <w15:docId w15:val="{46670B9F-8C13-4B36-A34E-779E478E8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A41AB"/>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ullets Char,Lista multicolor - Énfasis 11 Char,List Paragraph1 Char,List Paragraph (numbered (a)) Char,Lapis Bulleted List Char,Dot pt Char,F5 List Paragraph Char,No Spacing1 Char,List Paragraph Char Char Char Char,Bullet 1 Char"/>
    <w:link w:val="ListParagraph"/>
    <w:uiPriority w:val="34"/>
    <w:locked/>
    <w:rsid w:val="008A41AB"/>
    <w:rPr>
      <w:rFonts w:ascii="Calibri" w:eastAsiaTheme="minorEastAsia" w:hAnsi="Calibri" w:cs="Calibri"/>
      <w:lang w:val="en-US"/>
    </w:rPr>
  </w:style>
  <w:style w:type="paragraph" w:styleId="ListParagraph">
    <w:name w:val="List Paragraph"/>
    <w:aliases w:val="Bullets,Lista multicolor - Énfasis 11,List Paragraph1,List Paragraph (numbered (a)),Lapis Bulleted List,Dot pt,F5 List Paragraph,No Spacing1,List Paragraph Char Char Char,Indicator Text,Numbered Para 1,Bullet 1,List Paragraph12"/>
    <w:basedOn w:val="Normal"/>
    <w:link w:val="ListParagraphChar"/>
    <w:uiPriority w:val="34"/>
    <w:qFormat/>
    <w:rsid w:val="008A41AB"/>
    <w:pPr>
      <w:spacing w:after="0" w:line="240" w:lineRule="auto"/>
      <w:ind w:left="720"/>
    </w:pPr>
    <w:rPr>
      <w:rFonts w:ascii="Calibri" w:hAnsi="Calibri" w:cs="Calibri"/>
    </w:rPr>
  </w:style>
  <w:style w:type="character" w:customStyle="1" w:styleId="FootnoteTextChar">
    <w:name w:val="Footnote Text Char"/>
    <w:aliases w:val="fn Char,single space Char,FOOTNOTES Char,Footnote Text Blue Char,Char Char Char Char2 Char,Geneva 9 Char,Font: Geneva 9 Char,Boston 10 Char,f Char,Footnote Char,otnote Text Char,Fußnote Char,ADB Char Char Char1,ADB Char Char Char Char"/>
    <w:basedOn w:val="DefaultParagraphFont"/>
    <w:link w:val="FootnoteText"/>
    <w:uiPriority w:val="99"/>
    <w:semiHidden/>
    <w:locked/>
    <w:rsid w:val="00E5336F"/>
    <w:rPr>
      <w:rFonts w:ascii="Times New Roman" w:eastAsiaTheme="minorEastAsia" w:hAnsi="Times New Roman" w:cs="Times New Roman"/>
      <w:sz w:val="20"/>
      <w:szCs w:val="20"/>
      <w:lang w:val="es-PA" w:eastAsia="es-PA"/>
    </w:rPr>
  </w:style>
  <w:style w:type="paragraph" w:styleId="FootnoteText">
    <w:name w:val="footnote text"/>
    <w:aliases w:val="fn,single space,FOOTNOTES,Footnote Text Blue,Char Char Char Char2,Geneva 9,Font: Geneva 9,Boston 10,f,Footnote,otnote Text,Fußnote,ADB Char Char,ADB Char Char Char,ADB Char Char Char Char Char Char Char,ADB Char Char Char Char Char,ADB"/>
    <w:basedOn w:val="Normal"/>
    <w:link w:val="FootnoteTextChar"/>
    <w:uiPriority w:val="99"/>
    <w:semiHidden/>
    <w:unhideWhenUsed/>
    <w:rsid w:val="00E5336F"/>
    <w:pPr>
      <w:spacing w:after="0" w:line="240" w:lineRule="auto"/>
    </w:pPr>
    <w:rPr>
      <w:rFonts w:ascii="Times New Roman" w:hAnsi="Times New Roman" w:cs="Times New Roman"/>
      <w:sz w:val="20"/>
      <w:szCs w:val="20"/>
      <w:lang w:val="es-PA" w:eastAsia="es-PA"/>
    </w:rPr>
  </w:style>
  <w:style w:type="character" w:customStyle="1" w:styleId="FootnoteTextChar1">
    <w:name w:val="Footnote Text Char1"/>
    <w:basedOn w:val="DefaultParagraphFont"/>
    <w:uiPriority w:val="99"/>
    <w:semiHidden/>
    <w:rsid w:val="00E5336F"/>
    <w:rPr>
      <w:rFonts w:eastAsiaTheme="minorEastAsia"/>
      <w:sz w:val="20"/>
      <w:szCs w:val="20"/>
      <w:lang w:val="en-US"/>
    </w:rPr>
  </w:style>
  <w:style w:type="character" w:styleId="FootnoteReference">
    <w:name w:val="footnote reference"/>
    <w:aliases w:val="16 Point,Superscript 6 Point,Superscript 6 Point + 11 pt,ftref,BVI fnr,BVI fnr Car Car,BVI fnr Car,BVI fnr Car Car Car Car,Footnote text,Footnotes refss,Footnote Reference1,(Ref. de nota al pie),Ref,de nota al pie,Footnote Text1"/>
    <w:basedOn w:val="DefaultParagraphFont"/>
    <w:uiPriority w:val="99"/>
    <w:semiHidden/>
    <w:unhideWhenUsed/>
    <w:rsid w:val="00E5336F"/>
    <w:rPr>
      <w:vertAlign w:val="superscript"/>
    </w:rPr>
  </w:style>
  <w:style w:type="character" w:styleId="Hyperlink">
    <w:name w:val="Hyperlink"/>
    <w:basedOn w:val="DefaultParagraphFont"/>
    <w:uiPriority w:val="99"/>
    <w:semiHidden/>
    <w:unhideWhenUsed/>
    <w:rsid w:val="00E533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393940">
      <w:bodyDiv w:val="1"/>
      <w:marLeft w:val="0"/>
      <w:marRight w:val="0"/>
      <w:marTop w:val="0"/>
      <w:marBottom w:val="0"/>
      <w:divBdr>
        <w:top w:val="none" w:sz="0" w:space="0" w:color="auto"/>
        <w:left w:val="none" w:sz="0" w:space="0" w:color="auto"/>
        <w:bottom w:val="none" w:sz="0" w:space="0" w:color="auto"/>
        <w:right w:val="none" w:sz="0" w:space="0" w:color="auto"/>
      </w:divBdr>
    </w:div>
    <w:div w:id="1026104344">
      <w:bodyDiv w:val="1"/>
      <w:marLeft w:val="0"/>
      <w:marRight w:val="0"/>
      <w:marTop w:val="0"/>
      <w:marBottom w:val="0"/>
      <w:divBdr>
        <w:top w:val="none" w:sz="0" w:space="0" w:color="auto"/>
        <w:left w:val="none" w:sz="0" w:space="0" w:color="auto"/>
        <w:bottom w:val="none" w:sz="0" w:space="0" w:color="auto"/>
        <w:right w:val="none" w:sz="0" w:space="0" w:color="auto"/>
      </w:divBdr>
    </w:div>
    <w:div w:id="1703247091">
      <w:bodyDiv w:val="1"/>
      <w:marLeft w:val="0"/>
      <w:marRight w:val="0"/>
      <w:marTop w:val="0"/>
      <w:marBottom w:val="0"/>
      <w:divBdr>
        <w:top w:val="none" w:sz="0" w:space="0" w:color="auto"/>
        <w:left w:val="none" w:sz="0" w:space="0" w:color="auto"/>
        <w:bottom w:val="none" w:sz="0" w:space="0" w:color="auto"/>
        <w:right w:val="none" w:sz="0" w:space="0" w:color="auto"/>
      </w:divBdr>
    </w:div>
    <w:div w:id="185665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www4.unfccc.int/ndcregistry/PublishedDocuments/Argentina%20First/17112016%20NDC%20Revisada%20201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28e6c43a-9e99-4bdd-9574-a0fa4ea3b61e" ContentTypeId="0x010100F075C04BA242A84ABD3293E3AD35CDA4"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28" ma:contentTypeDescription="Create a new document." ma:contentTypeScope="" ma:versionID="c23ff14c6a1216ca0da59536d6135350">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3fb70f3e30476780b5b1d1f7e2ee4f0b"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ternalName="DocumentCategory">
      <xsd:simpleType>
        <xsd:restriction base="dms:Text">
          <xsd:maxLength value="255"/>
        </xsd:restriction>
      </xsd:simpleType>
    </xsd:element>
    <xsd:element name="DocumentType" ma:index="9" nillable="true" ma:displayName="DocumentType" ma:format="Dropdown" ma:internalName="DocumentType">
      <xsd:simpleType>
        <xsd:restriction base="dms:Text">
          <xsd:maxLength value="255"/>
        </xsd:restriction>
      </xsd:simpleType>
    </xsd:element>
    <xsd:element name="FileClassificationMode" ma:index="10" nillable="true" ma:displayName="FileClassificationMode" ma:format="Dropdown" ma:internalName="FileClassificationMode">
      <xsd:simpleType>
        <xsd:restriction base="dms:Text">
          <xsd:maxLength value="255"/>
        </xsd:restriction>
      </xsd:simpleType>
    </xsd:element>
    <xsd:element name="FileNameDescription" ma:index="11" nillable="true" ma:displayName="FileNameDescription" ma:format="Dropdown"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ternalName="FocusArea">
      <xsd:simpleType>
        <xsd:restriction base="dms:Text">
          <xsd:maxLength value="255"/>
        </xsd:restriction>
      </xsd:simpleType>
    </xsd:element>
    <xsd:element name="AuthorName" ma:index="21" nillable="true" ma:displayName="AuthorName" ma:format="Dropdown"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OfficeCountry xmlns="d9cf0e28-81d2-4dc7-8b10-820d80ed680d" xsi:nil="true"/>
    <DocumentStatus xmlns="d9cf0e28-81d2-4dc7-8b10-820d80ed680d">Final</DocumentStatus>
    <DocCoverageEndDate xmlns="d9cf0e28-81d2-4dc7-8b10-820d80ed680d" xsi:nil="true"/>
    <FunctionalArea xmlns="d9cf0e28-81d2-4dc7-8b10-820d80ed680d">Programme and Project</FunctionalArea>
    <FileNameDescription xmlns="d9cf0e28-81d2-4dc7-8b10-820d80ed680d" xsi:nil="true"/>
    <ProjectNumber xmlns="d9cf0e28-81d2-4dc7-8b10-820d80ed680d">64650</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ARG</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 xsi:nil="tru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5CE54C9E-391C-436C-8E12-06ECA4DE4348}"/>
</file>

<file path=customXml/itemProps2.xml><?xml version="1.0" encoding="utf-8"?>
<ds:datastoreItem xmlns:ds="http://schemas.openxmlformats.org/officeDocument/2006/customXml" ds:itemID="{0E3428D2-6269-4705-A368-EF61B90B1EAC}"/>
</file>

<file path=customXml/itemProps3.xml><?xml version="1.0" encoding="utf-8"?>
<ds:datastoreItem xmlns:ds="http://schemas.openxmlformats.org/officeDocument/2006/customXml" ds:itemID="{F06A90D9-544E-4BBC-B89F-0E959856ED72}"/>
</file>

<file path=customXml/itemProps4.xml><?xml version="1.0" encoding="utf-8"?>
<ds:datastoreItem xmlns:ds="http://schemas.openxmlformats.org/officeDocument/2006/customXml" ds:itemID="{14356AB9-8E96-4F3A-A9FF-492EE855DF27}"/>
</file>

<file path=customXml/itemProps5.xml><?xml version="1.0" encoding="utf-8"?>
<ds:datastoreItem xmlns:ds="http://schemas.openxmlformats.org/officeDocument/2006/customXml" ds:itemID="{4E710342-44BD-4560-A2A0-5A867A690876}"/>
</file>

<file path=docProps/app.xml><?xml version="1.0" encoding="utf-8"?>
<Properties xmlns="http://schemas.openxmlformats.org/officeDocument/2006/extended-properties" xmlns:vt="http://schemas.openxmlformats.org/officeDocument/2006/docPropsVTypes">
  <Template>Normal</Template>
  <TotalTime>9</TotalTime>
  <Pages>7</Pages>
  <Words>2650</Words>
  <Characters>15105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ARG12022-Reportes trimestrales</dc:title>
  <dc:subject/>
  <dc:creator/>
  <cp:keywords/>
  <dc:description/>
  <cp:lastModifiedBy>Yamil Bonduki</cp:lastModifiedBy>
  <cp:revision>2</cp:revision>
  <dcterms:created xsi:type="dcterms:W3CDTF">2017-05-17T22:25:00Z</dcterms:created>
  <dcterms:modified xsi:type="dcterms:W3CDTF">2017-05-17T22:36:00Z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UNDPCountry">
    <vt:lpwstr/>
  </property>
  <property fmtid="{D5CDD505-2E9C-101B-9397-08002B2CF9AE}" pid="4" name="UndpDocTypeMM">
    <vt:lpwstr/>
  </property>
  <property fmtid="{D5CDD505-2E9C-101B-9397-08002B2CF9AE}" pid="5" name="UNDPDocumentCategory">
    <vt:lpwstr/>
  </property>
  <property fmtid="{D5CDD505-2E9C-101B-9397-08002B2CF9AE}" pid="6" name="UN Languages">
    <vt:lpwstr>1;#English|7f98b732-4b5b-4b70-ba90-a0eff09b5d2d</vt:lpwstr>
  </property>
  <property fmtid="{D5CDD505-2E9C-101B-9397-08002B2CF9AE}" pid="7" name="Operating Unit0">
    <vt:lpwstr>38;#ARG|a08944a1-072a-4724-a1ed-9d97ea653d6c</vt:lpwstr>
  </property>
  <property fmtid="{D5CDD505-2E9C-101B-9397-08002B2CF9AE}" pid="8" name="Atlas Document Status">
    <vt:lpwstr>3;#Draft|148f9654-2d0b-4582-a532-49dea0090e5d</vt:lpwstr>
  </property>
  <property fmtid="{D5CDD505-2E9C-101B-9397-08002B2CF9AE}" pid="9" name="Atlas Document Type">
    <vt:lpwstr>236;#Progress Report|cafb2bdd-31de-4683-a84c-29af809cca57</vt:lpwstr>
  </property>
  <property fmtid="{D5CDD505-2E9C-101B-9397-08002B2CF9AE}" pid="10" name="eRegFilingCodeMM">
    <vt:lpwstr/>
  </property>
  <property fmtid="{D5CDD505-2E9C-101B-9397-08002B2CF9AE}" pid="11" name="UndpUnitMM">
    <vt:lpwstr/>
  </property>
  <property fmtid="{D5CDD505-2E9C-101B-9397-08002B2CF9AE}" pid="12" name="UNDPFocusAreas">
    <vt:lpwstr/>
  </property>
  <property fmtid="{D5CDD505-2E9C-101B-9397-08002B2CF9AE}" pid="13" name="_dlc_DocIdItemGuid">
    <vt:lpwstr>7ac281a6-6aba-47a9-9a30-54796f6be670</vt:lpwstr>
  </property>
  <property fmtid="{D5CDD505-2E9C-101B-9397-08002B2CF9AE}" pid="14" name="Order">
    <vt:r8>6426000</vt:r8>
  </property>
  <property fmtid="{D5CDD505-2E9C-101B-9397-08002B2CF9AE}" pid="15" name="_ExtendedDescription">
    <vt:lpwstr/>
  </property>
  <property fmtid="{D5CDD505-2E9C-101B-9397-08002B2CF9AE}" pid="16" name="MediaServiceImageTags">
    <vt:lpwstr/>
  </property>
</Properties>
</file>